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64" w:rsidRDefault="00251C64" w:rsidP="00251C64">
      <w:pPr>
        <w:pStyle w:val="Rubrik1"/>
      </w:pPr>
      <w:r>
        <w:t>Examination språksituationen i Norden HT 2017</w:t>
      </w:r>
    </w:p>
    <w:p w:rsidR="00251C64" w:rsidRPr="00251C64" w:rsidRDefault="00251C64" w:rsidP="00251C64"/>
    <w:p w:rsidR="000B481A" w:rsidRDefault="00251C64" w:rsidP="000B481A">
      <w:pPr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Välj en av uppgifterna nedan. </w:t>
      </w:r>
      <w:r w:rsidR="000B481A" w:rsidRPr="00332E21">
        <w:rPr>
          <w:rFonts w:ascii="Garamond" w:hAnsi="Garamond"/>
          <w:b/>
          <w:sz w:val="24"/>
          <w:szCs w:val="24"/>
        </w:rPr>
        <w:t xml:space="preserve">Minst en text ur texthäftet </w:t>
      </w:r>
      <w:r w:rsidR="000B481A">
        <w:rPr>
          <w:rFonts w:ascii="Garamond" w:hAnsi="Garamond"/>
          <w:b/>
          <w:sz w:val="24"/>
          <w:szCs w:val="24"/>
        </w:rPr>
        <w:t>ska användas som källa</w:t>
      </w:r>
      <w:r w:rsidR="000B481A" w:rsidRPr="00332E21">
        <w:rPr>
          <w:rFonts w:ascii="Garamond" w:hAnsi="Garamond"/>
          <w:b/>
          <w:sz w:val="24"/>
          <w:szCs w:val="24"/>
        </w:rPr>
        <w:t>, oavsett vilken fråga du väljer!</w:t>
      </w:r>
      <w:r w:rsidR="000B481A">
        <w:rPr>
          <w:rFonts w:ascii="Garamond" w:hAnsi="Garamond"/>
          <w:sz w:val="24"/>
          <w:szCs w:val="24"/>
        </w:rPr>
        <w:t xml:space="preserve"> </w:t>
      </w:r>
      <w:r w:rsidR="000B481A" w:rsidRPr="000E4FE6">
        <w:rPr>
          <w:rFonts w:ascii="Garamond" w:hAnsi="Garamond"/>
          <w:sz w:val="24"/>
          <w:szCs w:val="24"/>
        </w:rPr>
        <w:t>Gör källhänvisningar och använd referatmarkörer.</w:t>
      </w:r>
      <w:r w:rsidRPr="000E4FE6">
        <w:rPr>
          <w:rFonts w:ascii="Garamond" w:hAnsi="Garamond"/>
          <w:sz w:val="24"/>
          <w:szCs w:val="24"/>
        </w:rPr>
        <w:t xml:space="preserve"> </w:t>
      </w:r>
      <w:r w:rsidR="000E4FE6" w:rsidRPr="000E4FE6">
        <w:rPr>
          <w:rFonts w:ascii="Garamond" w:hAnsi="Garamond"/>
          <w:sz w:val="24"/>
          <w:szCs w:val="24"/>
        </w:rPr>
        <w:t xml:space="preserve">Använd den rubrik som </w:t>
      </w:r>
      <w:r w:rsidR="000E4FE6">
        <w:rPr>
          <w:rFonts w:ascii="Garamond" w:hAnsi="Garamond"/>
          <w:sz w:val="24"/>
          <w:szCs w:val="24"/>
        </w:rPr>
        <w:t>hör till uppgiften du valt.</w:t>
      </w:r>
    </w:p>
    <w:p w:rsidR="00251C64" w:rsidRPr="00251C64" w:rsidRDefault="00251C64" w:rsidP="000B481A">
      <w:pPr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Omfång: 400 – 600 ord.</w:t>
      </w:r>
    </w:p>
    <w:p w:rsidR="000B481A" w:rsidRDefault="000B481A" w:rsidP="000B481A">
      <w:pPr>
        <w:spacing w:line="360" w:lineRule="auto"/>
        <w:ind w:left="360"/>
        <w:rPr>
          <w:rFonts w:ascii="Garamond" w:hAnsi="Garamond"/>
          <w:sz w:val="24"/>
          <w:szCs w:val="24"/>
        </w:rPr>
      </w:pPr>
    </w:p>
    <w:p w:rsidR="000E4FE6" w:rsidRDefault="000E4FE6" w:rsidP="00972CC9">
      <w:pPr>
        <w:pStyle w:val="Liststycke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Hur bör Finland lösa sin språkundervisning?</w:t>
      </w:r>
    </w:p>
    <w:p w:rsidR="000E4FE6" w:rsidRDefault="000B481A" w:rsidP="000E4FE6">
      <w:pPr>
        <w:pStyle w:val="Liststycke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 är för närvarande obligatoriskt för finländska skolbarn att läsa både svenska och finska i skolan. Partiet Sannfinlända</w:t>
      </w:r>
      <w:r w:rsidR="000E4FE6">
        <w:rPr>
          <w:rFonts w:ascii="Garamond" w:hAnsi="Garamond"/>
          <w:sz w:val="24"/>
          <w:szCs w:val="24"/>
        </w:rPr>
        <w:t>rna vill ändra på detta och istä</w:t>
      </w:r>
      <w:r>
        <w:rPr>
          <w:rFonts w:ascii="Garamond" w:hAnsi="Garamond"/>
          <w:sz w:val="24"/>
          <w:szCs w:val="24"/>
        </w:rPr>
        <w:t xml:space="preserve">llet göra svenskan till ett valbart ämne. </w:t>
      </w:r>
    </w:p>
    <w:p w:rsidR="00972CC9" w:rsidRPr="00972CC9" w:rsidRDefault="00465CD9" w:rsidP="000E4FE6">
      <w:pPr>
        <w:pStyle w:val="Liststycke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Redogör för bakgrunden till </w:t>
      </w:r>
      <w:r w:rsidR="000E4FE6">
        <w:rPr>
          <w:rFonts w:ascii="Garamond" w:hAnsi="Garamond"/>
          <w:b/>
          <w:sz w:val="24"/>
          <w:szCs w:val="24"/>
        </w:rPr>
        <w:t xml:space="preserve">den finska språksituationen. Diskutera för- och nackdelar med den obligatoriska undervisningen i både finska och svenska. Presentera din slutsats om hur man bör göra med undervisningen framöver. </w:t>
      </w:r>
    </w:p>
    <w:p w:rsidR="00972CC9" w:rsidRPr="00972CC9" w:rsidRDefault="00972CC9" w:rsidP="00972CC9">
      <w:pPr>
        <w:pStyle w:val="Liststycke"/>
        <w:spacing w:line="360" w:lineRule="auto"/>
        <w:rPr>
          <w:rFonts w:ascii="Garamond" w:hAnsi="Garamond"/>
          <w:sz w:val="24"/>
          <w:szCs w:val="24"/>
        </w:rPr>
      </w:pPr>
    </w:p>
    <w:p w:rsidR="000E4FE6" w:rsidRDefault="000E4FE6" w:rsidP="00972CC9">
      <w:pPr>
        <w:pStyle w:val="Liststycke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Hur bör Norge lösa sin språkundervisning?</w:t>
      </w:r>
    </w:p>
    <w:p w:rsidR="00972CC9" w:rsidRDefault="00972CC9" w:rsidP="000E4FE6">
      <w:pPr>
        <w:pStyle w:val="Liststycke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två olika varianterna av norska – bokmål och nynorsk – rör upp starka känslor i vårt grannland. Alla elever får välja vilket språk huvuddelen av undervisningen ska ske på, men alla måste lära sig både bokmål och nynorsk. Många är emot detta system. </w:t>
      </w:r>
    </w:p>
    <w:p w:rsidR="000E4FE6" w:rsidRPr="000E4FE6" w:rsidRDefault="000E4FE6" w:rsidP="000E4FE6">
      <w:pPr>
        <w:pStyle w:val="Liststycke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Redogör för bakgrunden till den norska språkundervisningen. Diskutera för- och nackdelar med den obligatoriska undervisningen i både bokmål och nynorsk. Presentera din slutsats om hur man bör göra med undervisningen framöver. </w:t>
      </w:r>
    </w:p>
    <w:p w:rsidR="00972CC9" w:rsidRPr="0039293A" w:rsidRDefault="00972CC9" w:rsidP="000B481A">
      <w:pPr>
        <w:pStyle w:val="Liststycke"/>
        <w:rPr>
          <w:rFonts w:ascii="Garamond" w:hAnsi="Garamond"/>
          <w:sz w:val="24"/>
          <w:szCs w:val="24"/>
        </w:rPr>
      </w:pPr>
    </w:p>
    <w:p w:rsidR="00AC7874" w:rsidRDefault="00AC7874" w:rsidP="000B481A">
      <w:pPr>
        <w:pStyle w:val="Liststycke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Bör vi ta bort undervisningen i nordiska språk och minoritetsspråk från svenskan?</w:t>
      </w:r>
    </w:p>
    <w:p w:rsidR="000B481A" w:rsidRDefault="000B481A" w:rsidP="00AC7874">
      <w:pPr>
        <w:pStyle w:val="Liststycke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Gustav Fridolin</w:t>
      </w:r>
      <w:r w:rsidR="00B1265C">
        <w:rPr>
          <w:rFonts w:ascii="Garamond" w:hAnsi="Garamond"/>
          <w:sz w:val="24"/>
          <w:szCs w:val="24"/>
        </w:rPr>
        <w:t xml:space="preserve"> vill fortsätta att höja Sveriges resultat i PISA-undersökningarna</w:t>
      </w:r>
      <w:r>
        <w:rPr>
          <w:rFonts w:ascii="Garamond" w:hAnsi="Garamond"/>
          <w:sz w:val="24"/>
          <w:szCs w:val="24"/>
        </w:rPr>
        <w:t xml:space="preserve">. </w:t>
      </w:r>
      <w:r w:rsidR="00B1265C">
        <w:rPr>
          <w:rFonts w:ascii="Garamond" w:hAnsi="Garamond"/>
          <w:sz w:val="24"/>
          <w:szCs w:val="24"/>
        </w:rPr>
        <w:t>För att höja läsförståelsen anser han att det är bättre att eleverna lär sig svenska ordentligt</w:t>
      </w:r>
      <w:r>
        <w:rPr>
          <w:rFonts w:ascii="Garamond" w:hAnsi="Garamond"/>
          <w:sz w:val="24"/>
          <w:szCs w:val="24"/>
        </w:rPr>
        <w:t xml:space="preserve"> än att de ägnar sig åt att studera övriga nordiska språk och svenska minoritetsspråk. Han vill därför ta bort de delarna ur ämnesplanen för Svenska 2. </w:t>
      </w:r>
    </w:p>
    <w:p w:rsidR="00AC7874" w:rsidRPr="00AC7874" w:rsidRDefault="00AC7874" w:rsidP="00AC7874">
      <w:pPr>
        <w:pStyle w:val="Liststycke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Redogör för hur undervisningens innehåll i nuläget. Diskutera för- och nackdelar med att baka in undervisning om övriga nordiska språk samt minoritetsspråk i svenskundervisningen. Presentera din slutsats om hur man bör göra med undervisningen framöver. </w:t>
      </w:r>
    </w:p>
    <w:p w:rsidR="000B481A" w:rsidRPr="0039293A" w:rsidRDefault="000B481A" w:rsidP="000B481A">
      <w:pPr>
        <w:pStyle w:val="Liststycke"/>
        <w:rPr>
          <w:rFonts w:ascii="Garamond" w:hAnsi="Garamond"/>
          <w:sz w:val="24"/>
          <w:szCs w:val="24"/>
        </w:rPr>
      </w:pPr>
    </w:p>
    <w:p w:rsidR="000B481A" w:rsidRPr="00AC7874" w:rsidRDefault="000B481A" w:rsidP="000B481A">
      <w:pPr>
        <w:pStyle w:val="Liststycke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Sverigedemokraterna har motionerat i riksdagen för att avskaffa skolans ansvar för modersmålsundervisningen </w:t>
      </w:r>
      <w:r w:rsidR="00AC7874">
        <w:rPr>
          <w:rFonts w:ascii="Garamond" w:hAnsi="Garamond"/>
          <w:sz w:val="24"/>
          <w:szCs w:val="24"/>
        </w:rPr>
        <w:t xml:space="preserve">(de nationella minoritetsspråken undantagna) </w:t>
      </w:r>
      <w:r>
        <w:rPr>
          <w:rFonts w:ascii="Garamond" w:hAnsi="Garamond"/>
          <w:sz w:val="24"/>
          <w:szCs w:val="24"/>
        </w:rPr>
        <w:t>och istället lägga ansvaret på den enskilda familjen, som ska stå för kostnad och tid</w:t>
      </w:r>
      <w:r w:rsidR="00AC7874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om de vill att barnen ska få modersmålsundervisning).</w:t>
      </w:r>
      <w:r w:rsidRPr="006912B9">
        <w:rPr>
          <w:rFonts w:ascii="Garamond" w:hAnsi="Garamond"/>
          <w:b/>
          <w:sz w:val="24"/>
          <w:szCs w:val="24"/>
        </w:rPr>
        <w:t xml:space="preserve"> </w:t>
      </w:r>
    </w:p>
    <w:p w:rsidR="00AC7874" w:rsidRPr="00AC7874" w:rsidRDefault="00AC7874" w:rsidP="00AC7874">
      <w:pPr>
        <w:pStyle w:val="Liststycke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Redogör för hur det ser ut i nuläget och hur Sverigedemokraternas förslag ser ut. Diskutera för- och nackdelar med modersmålsundervisning. Presentera din slutsats om hur man bör göra med undervisningen framöver. </w:t>
      </w:r>
      <w:bookmarkStart w:id="0" w:name="_GoBack"/>
      <w:bookmarkEnd w:id="0"/>
    </w:p>
    <w:p w:rsidR="004138F1" w:rsidRPr="004138F1" w:rsidRDefault="004138F1" w:rsidP="004138F1">
      <w:pPr>
        <w:pStyle w:val="Liststycke"/>
        <w:rPr>
          <w:rFonts w:ascii="Garamond" w:hAnsi="Garamond"/>
          <w:sz w:val="24"/>
          <w:szCs w:val="24"/>
        </w:rPr>
      </w:pPr>
    </w:p>
    <w:p w:rsidR="000B481A" w:rsidRPr="002F267B" w:rsidRDefault="000B481A" w:rsidP="000B481A">
      <w:pPr>
        <w:pStyle w:val="Liststycke"/>
        <w:rPr>
          <w:rFonts w:ascii="Garamond" w:hAnsi="Garamond"/>
          <w:sz w:val="24"/>
          <w:szCs w:val="24"/>
        </w:rPr>
      </w:pPr>
    </w:p>
    <w:p w:rsidR="000B481A" w:rsidRDefault="000B481A" w:rsidP="000B481A">
      <w:pPr>
        <w:spacing w:line="360" w:lineRule="auto"/>
        <w:rPr>
          <w:rFonts w:ascii="Garamond" w:hAnsi="Garamond"/>
          <w:sz w:val="24"/>
          <w:szCs w:val="24"/>
        </w:rPr>
      </w:pPr>
    </w:p>
    <w:p w:rsidR="000B481A" w:rsidRDefault="000B481A" w:rsidP="000B481A">
      <w:pPr>
        <w:spacing w:line="360" w:lineRule="auto"/>
        <w:rPr>
          <w:rFonts w:ascii="Garamond" w:hAnsi="Garamond"/>
          <w:sz w:val="24"/>
          <w:szCs w:val="24"/>
        </w:rPr>
      </w:pPr>
    </w:p>
    <w:p w:rsidR="00051F8A" w:rsidRDefault="00051F8A">
      <w:pPr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843"/>
        <w:gridCol w:w="3457"/>
      </w:tblGrid>
      <w:tr w:rsidR="000B481A" w:rsidRPr="001033FA" w:rsidTr="000B481A">
        <w:tc>
          <w:tcPr>
            <w:tcW w:w="2762" w:type="dxa"/>
          </w:tcPr>
          <w:p w:rsidR="000B481A" w:rsidRPr="001033FA" w:rsidRDefault="000B481A" w:rsidP="001D7B27">
            <w:pPr>
              <w:rPr>
                <w:b/>
                <w:sz w:val="18"/>
                <w:szCs w:val="18"/>
              </w:rPr>
            </w:pPr>
            <w:r w:rsidRPr="001033FA">
              <w:rPr>
                <w:b/>
                <w:sz w:val="18"/>
                <w:szCs w:val="18"/>
              </w:rPr>
              <w:lastRenderedPageBreak/>
              <w:t>Kunskapskrav för betyget E</w:t>
            </w:r>
          </w:p>
        </w:tc>
        <w:tc>
          <w:tcPr>
            <w:tcW w:w="2843" w:type="dxa"/>
          </w:tcPr>
          <w:p w:rsidR="000B481A" w:rsidRPr="001033FA" w:rsidRDefault="000B481A" w:rsidP="001D7B27">
            <w:pPr>
              <w:rPr>
                <w:sz w:val="18"/>
                <w:szCs w:val="18"/>
              </w:rPr>
            </w:pPr>
            <w:r w:rsidRPr="001033FA">
              <w:rPr>
                <w:b/>
                <w:sz w:val="18"/>
                <w:szCs w:val="18"/>
              </w:rPr>
              <w:t>Kunskapskrav för betyget C</w:t>
            </w:r>
          </w:p>
        </w:tc>
        <w:tc>
          <w:tcPr>
            <w:tcW w:w="3457" w:type="dxa"/>
          </w:tcPr>
          <w:p w:rsidR="000B481A" w:rsidRPr="001033FA" w:rsidRDefault="000B481A" w:rsidP="001D7B27">
            <w:pPr>
              <w:rPr>
                <w:sz w:val="18"/>
                <w:szCs w:val="18"/>
              </w:rPr>
            </w:pPr>
            <w:r w:rsidRPr="001033FA">
              <w:rPr>
                <w:b/>
                <w:sz w:val="18"/>
                <w:szCs w:val="18"/>
              </w:rPr>
              <w:t>Kunskapskrav för betyget A</w:t>
            </w:r>
          </w:p>
        </w:tc>
      </w:tr>
      <w:tr w:rsidR="000B481A" w:rsidRPr="001033FA" w:rsidTr="000B481A">
        <w:trPr>
          <w:trHeight w:val="1120"/>
        </w:trPr>
        <w:tc>
          <w:tcPr>
            <w:tcW w:w="2762" w:type="dxa"/>
          </w:tcPr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Elever kan </w:t>
            </w:r>
            <w:r w:rsidRPr="001033FA">
              <w:rPr>
                <w:b/>
                <w:bCs/>
                <w:sz w:val="18"/>
                <w:szCs w:val="18"/>
              </w:rPr>
              <w:t xml:space="preserve">med viss säkerhet </w:t>
            </w:r>
            <w:r w:rsidRPr="001033FA">
              <w:rPr>
                <w:sz w:val="18"/>
                <w:szCs w:val="18"/>
              </w:rPr>
              <w:t xml:space="preserve">samla, sovra och sammanställa information från olika källor. Med utgångspunkt från detta kan eleven skriva utredande och argumenterande texter som är sammanhängande </w:t>
            </w:r>
            <w:r w:rsidRPr="001033FA">
              <w:rPr>
                <w:b/>
                <w:bCs/>
                <w:sz w:val="18"/>
                <w:szCs w:val="18"/>
              </w:rPr>
              <w:t>och har tydligt urskiljbar disposition</w:t>
            </w:r>
            <w:r w:rsidRPr="001033FA">
              <w:rPr>
                <w:sz w:val="18"/>
                <w:szCs w:val="18"/>
              </w:rPr>
              <w:t xml:space="preserve">. </w:t>
            </w:r>
          </w:p>
          <w:p w:rsidR="000B481A" w:rsidRPr="001033FA" w:rsidRDefault="000B481A" w:rsidP="001D7B27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Elever kan </w:t>
            </w:r>
            <w:r w:rsidRPr="001033FA">
              <w:rPr>
                <w:b/>
                <w:bCs/>
                <w:sz w:val="18"/>
                <w:szCs w:val="18"/>
              </w:rPr>
              <w:t xml:space="preserve">med viss säkerhet </w:t>
            </w:r>
            <w:r w:rsidRPr="001033FA">
              <w:rPr>
                <w:sz w:val="18"/>
                <w:szCs w:val="18"/>
              </w:rPr>
              <w:t xml:space="preserve">samla, sovra och sammanställa information från olika källor. Med utgångspunkt från detta kan eleven skriva utredande och argumenterande texter som är sammanhängande, </w:t>
            </w:r>
            <w:r w:rsidRPr="001033FA">
              <w:rPr>
                <w:b/>
                <w:bCs/>
                <w:sz w:val="18"/>
                <w:szCs w:val="18"/>
              </w:rPr>
              <w:t>väldisponerade och som ger ett nytt perspektiv på det lästa. Dessutom resonerar och drar eleven slutsatser utifrån sina resonemang</w:t>
            </w:r>
            <w:r w:rsidRPr="001033FA">
              <w:rPr>
                <w:sz w:val="18"/>
                <w:szCs w:val="18"/>
              </w:rPr>
              <w:t xml:space="preserve">. </w:t>
            </w:r>
          </w:p>
          <w:p w:rsidR="000B481A" w:rsidRPr="001033FA" w:rsidRDefault="000B481A" w:rsidP="001D7B27">
            <w:pPr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Elever kan </w:t>
            </w:r>
            <w:r w:rsidRPr="001033FA">
              <w:rPr>
                <w:b/>
                <w:bCs/>
                <w:sz w:val="18"/>
                <w:szCs w:val="18"/>
              </w:rPr>
              <w:t xml:space="preserve">med säkerhet </w:t>
            </w:r>
            <w:r w:rsidRPr="001033FA">
              <w:rPr>
                <w:sz w:val="18"/>
                <w:szCs w:val="18"/>
              </w:rPr>
              <w:t xml:space="preserve">samla, sovra och sammanställa information från olika källor och kan med utgångspunkt från detta skriva utredande och argumenterande texter som är sammanhängande och </w:t>
            </w:r>
            <w:r w:rsidRPr="001033FA">
              <w:rPr>
                <w:b/>
                <w:bCs/>
                <w:sz w:val="18"/>
                <w:szCs w:val="18"/>
              </w:rPr>
              <w:t>väldisponerade</w:t>
            </w:r>
            <w:r w:rsidRPr="001033FA">
              <w:rPr>
                <w:sz w:val="18"/>
                <w:szCs w:val="18"/>
              </w:rPr>
              <w:t>.</w:t>
            </w:r>
            <w:r w:rsidRPr="001033FA">
              <w:rPr>
                <w:b/>
                <w:bCs/>
                <w:sz w:val="18"/>
                <w:szCs w:val="18"/>
              </w:rPr>
              <w:t xml:space="preserve"> Framställningen innehåller såväl belysande exempel som nya och vidgade perspektiv på det lästa. Dessutom resonerar och drar eleven välgrundade och nyanserade slutsatser utifrån sina resonemang</w:t>
            </w:r>
            <w:r w:rsidRPr="001033FA">
              <w:rPr>
                <w:sz w:val="18"/>
                <w:szCs w:val="18"/>
              </w:rPr>
              <w:t xml:space="preserve">. </w:t>
            </w:r>
          </w:p>
          <w:p w:rsidR="000B481A" w:rsidRPr="001033FA" w:rsidRDefault="000B481A" w:rsidP="001D7B27">
            <w:pPr>
              <w:rPr>
                <w:sz w:val="18"/>
                <w:szCs w:val="18"/>
              </w:rPr>
            </w:pPr>
          </w:p>
        </w:tc>
      </w:tr>
      <w:tr w:rsidR="000B481A" w:rsidRPr="001033FA" w:rsidTr="000B481A">
        <w:trPr>
          <w:trHeight w:val="1120"/>
        </w:trPr>
        <w:tc>
          <w:tcPr>
            <w:tcW w:w="2762" w:type="dxa"/>
          </w:tcPr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Texterna är </w:t>
            </w:r>
            <w:r w:rsidRPr="001033FA">
              <w:rPr>
                <w:b/>
                <w:bCs/>
                <w:sz w:val="18"/>
                <w:szCs w:val="18"/>
              </w:rPr>
              <w:t>till</w:t>
            </w:r>
            <w:r w:rsidRPr="001033FA">
              <w:rPr>
                <w:sz w:val="18"/>
                <w:szCs w:val="18"/>
              </w:rPr>
              <w:t xml:space="preserve"> </w:t>
            </w:r>
            <w:r w:rsidRPr="001033FA">
              <w:rPr>
                <w:b/>
                <w:bCs/>
                <w:sz w:val="18"/>
                <w:szCs w:val="18"/>
              </w:rPr>
              <w:t>viss del</w:t>
            </w:r>
            <w:r w:rsidRPr="001033FA">
              <w:rPr>
                <w:sz w:val="18"/>
                <w:szCs w:val="18"/>
              </w:rPr>
              <w:t xml:space="preserve"> anpassade till syfte, mottagare och kommunikationssituation. Eleven kan tillämpa regler för citat- och referatteknik och följer i huvudsak skriftspråkets normer för språkriktighet. Språket är varierat och innehåller goda formuleringar.</w:t>
            </w:r>
          </w:p>
        </w:tc>
        <w:tc>
          <w:tcPr>
            <w:tcW w:w="2843" w:type="dxa"/>
          </w:tcPr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Texterna är anpassade till syfte, mottagare och kommunikationssituation. Eleven kan tillämpa regler för citat- och referatteknik och följer i huvudsak skriftspråkets normer för språkriktighet. Språket är </w:t>
            </w:r>
            <w:r w:rsidRPr="001033FA">
              <w:rPr>
                <w:b/>
                <w:bCs/>
                <w:sz w:val="18"/>
                <w:szCs w:val="18"/>
              </w:rPr>
              <w:t xml:space="preserve">klart och </w:t>
            </w:r>
            <w:r w:rsidRPr="001033FA">
              <w:rPr>
                <w:sz w:val="18"/>
                <w:szCs w:val="18"/>
              </w:rPr>
              <w:t>varierat samt innehåller goda formuleringar.</w:t>
            </w:r>
          </w:p>
        </w:tc>
        <w:tc>
          <w:tcPr>
            <w:tcW w:w="3457" w:type="dxa"/>
          </w:tcPr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Texterna är anpassade till syfte, mottagare och kommunikationssituation. Eleven kan tillämpa regler för citat- och referatteknik och följer i huvudsak skriftspråkets normer för språkriktighet. Språket är </w:t>
            </w:r>
            <w:r w:rsidRPr="001033FA">
              <w:rPr>
                <w:b/>
                <w:bCs/>
                <w:sz w:val="18"/>
                <w:szCs w:val="18"/>
              </w:rPr>
              <w:t xml:space="preserve">träffsäkert, klart och </w:t>
            </w:r>
            <w:r w:rsidRPr="001033FA">
              <w:rPr>
                <w:sz w:val="18"/>
                <w:szCs w:val="18"/>
              </w:rPr>
              <w:t>varierat och innehåller goda formuleringar.</w:t>
            </w:r>
          </w:p>
          <w:p w:rsidR="000B481A" w:rsidRPr="001033FA" w:rsidRDefault="000B481A" w:rsidP="001D7B27">
            <w:pPr>
              <w:pStyle w:val="Normalwebb"/>
              <w:rPr>
                <w:sz w:val="18"/>
                <w:szCs w:val="18"/>
              </w:rPr>
            </w:pPr>
          </w:p>
        </w:tc>
      </w:tr>
      <w:tr w:rsidR="000B481A" w:rsidRPr="001033FA" w:rsidTr="000B481A">
        <w:trPr>
          <w:trHeight w:val="1503"/>
        </w:trPr>
        <w:tc>
          <w:tcPr>
            <w:tcW w:w="2762" w:type="dxa"/>
          </w:tcPr>
          <w:p w:rsidR="000B481A" w:rsidRPr="00251C64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251C64">
              <w:rPr>
                <w:sz w:val="18"/>
                <w:szCs w:val="18"/>
              </w:rPr>
              <w:t xml:space="preserve">Eleven kan i skriftlig argumentation formulera en tes och ge </w:t>
            </w:r>
            <w:r w:rsidRPr="00251C64">
              <w:rPr>
                <w:b/>
                <w:bCs/>
                <w:sz w:val="18"/>
                <w:szCs w:val="18"/>
              </w:rPr>
              <w:t xml:space="preserve">välgrundade </w:t>
            </w:r>
            <w:r w:rsidRPr="00251C64">
              <w:rPr>
                <w:sz w:val="18"/>
                <w:szCs w:val="18"/>
              </w:rPr>
              <w:t>argument till stöd för den.</w:t>
            </w:r>
          </w:p>
          <w:p w:rsidR="000B481A" w:rsidRPr="00251C64" w:rsidRDefault="000B481A" w:rsidP="001D7B27">
            <w:pPr>
              <w:pStyle w:val="Normalwebb"/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:rsidR="000B481A" w:rsidRPr="00251C64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251C64">
              <w:rPr>
                <w:sz w:val="18"/>
                <w:szCs w:val="18"/>
              </w:rPr>
              <w:t xml:space="preserve">Eleven kan i skriftlig argumentation formulera eleven en tes, </w:t>
            </w:r>
            <w:r w:rsidRPr="00251C64">
              <w:rPr>
                <w:b/>
                <w:bCs/>
                <w:sz w:val="18"/>
                <w:szCs w:val="18"/>
              </w:rPr>
              <w:t>håller sig konsekvent till den</w:t>
            </w:r>
            <w:r w:rsidRPr="00251C64">
              <w:rPr>
                <w:sz w:val="18"/>
                <w:szCs w:val="18"/>
              </w:rPr>
              <w:t xml:space="preserve"> och ge </w:t>
            </w:r>
            <w:r w:rsidRPr="00251C64">
              <w:rPr>
                <w:b/>
                <w:bCs/>
                <w:sz w:val="18"/>
                <w:szCs w:val="18"/>
              </w:rPr>
              <w:t xml:space="preserve">välgrundade </w:t>
            </w:r>
            <w:r w:rsidRPr="00251C64">
              <w:rPr>
                <w:sz w:val="18"/>
                <w:szCs w:val="18"/>
              </w:rPr>
              <w:t>argument till stöd för den.</w:t>
            </w:r>
          </w:p>
          <w:p w:rsidR="000B481A" w:rsidRPr="00251C64" w:rsidRDefault="000B481A" w:rsidP="001D7B27">
            <w:pPr>
              <w:pStyle w:val="Normalwebb"/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:rsidR="000B481A" w:rsidRPr="00251C64" w:rsidRDefault="000B481A" w:rsidP="001D7B27">
            <w:pPr>
              <w:pStyle w:val="Normalwebb"/>
              <w:rPr>
                <w:sz w:val="18"/>
                <w:szCs w:val="18"/>
              </w:rPr>
            </w:pPr>
            <w:r w:rsidRPr="00251C64">
              <w:rPr>
                <w:sz w:val="18"/>
                <w:szCs w:val="18"/>
              </w:rPr>
              <w:t xml:space="preserve">Eleven kan i skriftlig argumentation formulera en tes, </w:t>
            </w:r>
            <w:r w:rsidRPr="00251C64">
              <w:rPr>
                <w:b/>
                <w:bCs/>
                <w:sz w:val="18"/>
                <w:szCs w:val="18"/>
              </w:rPr>
              <w:t>hålla sig konsekvent till den</w:t>
            </w:r>
            <w:r w:rsidRPr="00251C64">
              <w:rPr>
                <w:sz w:val="18"/>
                <w:szCs w:val="18"/>
              </w:rPr>
              <w:t xml:space="preserve"> och ge </w:t>
            </w:r>
            <w:r w:rsidRPr="00251C64">
              <w:rPr>
                <w:b/>
                <w:bCs/>
                <w:sz w:val="18"/>
                <w:szCs w:val="18"/>
              </w:rPr>
              <w:t xml:space="preserve">välgrundade </w:t>
            </w:r>
            <w:r w:rsidRPr="00251C64">
              <w:rPr>
                <w:sz w:val="18"/>
                <w:szCs w:val="18"/>
              </w:rPr>
              <w:t xml:space="preserve">argument till stöd för den. </w:t>
            </w:r>
            <w:r w:rsidRPr="00251C64">
              <w:rPr>
                <w:b/>
                <w:bCs/>
                <w:sz w:val="18"/>
                <w:szCs w:val="18"/>
              </w:rPr>
              <w:t>Dessutom kan eleven på ett relevant sätt bemöta tänkta motargument</w:t>
            </w:r>
            <w:r w:rsidRPr="00251C64">
              <w:rPr>
                <w:sz w:val="18"/>
                <w:szCs w:val="18"/>
              </w:rPr>
              <w:t>.</w:t>
            </w:r>
          </w:p>
          <w:p w:rsidR="000B481A" w:rsidRPr="00251C64" w:rsidRDefault="000B481A" w:rsidP="001D7B27">
            <w:pPr>
              <w:pStyle w:val="Normalwebb"/>
              <w:rPr>
                <w:sz w:val="18"/>
                <w:szCs w:val="18"/>
              </w:rPr>
            </w:pPr>
          </w:p>
        </w:tc>
      </w:tr>
      <w:tr w:rsidR="000B481A" w:rsidRPr="001033FA" w:rsidTr="000B481A">
        <w:trPr>
          <w:trHeight w:val="1329"/>
        </w:trPr>
        <w:tc>
          <w:tcPr>
            <w:tcW w:w="2762" w:type="dxa"/>
          </w:tcPr>
          <w:p w:rsidR="000B481A" w:rsidRPr="001033FA" w:rsidRDefault="000B481A" w:rsidP="000B481A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>Eleven kan</w:t>
            </w:r>
            <w:r w:rsidRPr="001033FA">
              <w:rPr>
                <w:b/>
                <w:bCs/>
                <w:sz w:val="18"/>
                <w:szCs w:val="18"/>
              </w:rPr>
              <w:t xml:space="preserve"> översiktligt </w:t>
            </w:r>
            <w:r w:rsidRPr="001033FA">
              <w:rPr>
                <w:sz w:val="18"/>
                <w:szCs w:val="18"/>
              </w:rPr>
              <w:t xml:space="preserve">redogöra för </w:t>
            </w:r>
            <w:r w:rsidRPr="001033FA">
              <w:rPr>
                <w:b/>
                <w:bCs/>
                <w:sz w:val="18"/>
                <w:szCs w:val="18"/>
              </w:rPr>
              <w:t>någon</w:t>
            </w:r>
            <w:r w:rsidRPr="001033FA">
              <w:rPr>
                <w:sz w:val="18"/>
                <w:szCs w:val="18"/>
              </w:rPr>
              <w:t xml:space="preserve"> aspekt av språksituationen i Sverige och övriga Norden.</w:t>
            </w:r>
          </w:p>
          <w:p w:rsidR="000B481A" w:rsidRPr="001033FA" w:rsidRDefault="000B481A" w:rsidP="000B481A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:rsidR="000B481A" w:rsidRPr="001033FA" w:rsidRDefault="000B481A" w:rsidP="000B481A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 xml:space="preserve">Eleven kan </w:t>
            </w:r>
            <w:r w:rsidRPr="001033FA">
              <w:rPr>
                <w:b/>
                <w:bCs/>
                <w:sz w:val="18"/>
                <w:szCs w:val="18"/>
              </w:rPr>
              <w:t>utförligt</w:t>
            </w:r>
            <w:r w:rsidRPr="001033FA">
              <w:rPr>
                <w:sz w:val="18"/>
                <w:szCs w:val="18"/>
              </w:rPr>
              <w:t xml:space="preserve"> redogöra för </w:t>
            </w:r>
            <w:r w:rsidRPr="001033FA">
              <w:rPr>
                <w:b/>
                <w:bCs/>
                <w:sz w:val="18"/>
                <w:szCs w:val="18"/>
              </w:rPr>
              <w:t xml:space="preserve">några </w:t>
            </w:r>
            <w:r w:rsidRPr="001033FA">
              <w:rPr>
                <w:sz w:val="18"/>
                <w:szCs w:val="18"/>
              </w:rPr>
              <w:t>aspekter av språksituationen i Sverige och övriga Norden.</w:t>
            </w:r>
          </w:p>
          <w:p w:rsidR="000B481A" w:rsidRPr="001033FA" w:rsidRDefault="000B481A" w:rsidP="000B481A">
            <w:pPr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:rsidR="000B481A" w:rsidRPr="001033FA" w:rsidRDefault="000B481A" w:rsidP="000B481A">
            <w:pPr>
              <w:pStyle w:val="Normalwebb"/>
              <w:rPr>
                <w:sz w:val="18"/>
                <w:szCs w:val="18"/>
              </w:rPr>
            </w:pPr>
            <w:r w:rsidRPr="001033FA">
              <w:rPr>
                <w:sz w:val="18"/>
                <w:szCs w:val="18"/>
              </w:rPr>
              <w:t>Eleven kan</w:t>
            </w:r>
            <w:r w:rsidRPr="001033FA">
              <w:rPr>
                <w:b/>
                <w:bCs/>
                <w:sz w:val="18"/>
                <w:szCs w:val="18"/>
              </w:rPr>
              <w:t xml:space="preserve"> utförligt och nyanserat</w:t>
            </w:r>
            <w:r w:rsidRPr="001033FA">
              <w:rPr>
                <w:sz w:val="18"/>
                <w:szCs w:val="18"/>
              </w:rPr>
              <w:t xml:space="preserve"> redogöra för </w:t>
            </w:r>
            <w:r w:rsidRPr="001033FA">
              <w:rPr>
                <w:b/>
                <w:bCs/>
                <w:sz w:val="18"/>
                <w:szCs w:val="18"/>
              </w:rPr>
              <w:t xml:space="preserve">några </w:t>
            </w:r>
            <w:r w:rsidRPr="001033FA">
              <w:rPr>
                <w:sz w:val="18"/>
                <w:szCs w:val="18"/>
              </w:rPr>
              <w:t>aspekter av språksituationen i Sverige och övriga Norden.</w:t>
            </w:r>
          </w:p>
          <w:p w:rsidR="000B481A" w:rsidRPr="001033FA" w:rsidRDefault="000B481A" w:rsidP="000B481A">
            <w:pPr>
              <w:rPr>
                <w:sz w:val="18"/>
                <w:szCs w:val="18"/>
              </w:rPr>
            </w:pPr>
          </w:p>
        </w:tc>
      </w:tr>
    </w:tbl>
    <w:p w:rsidR="000B481A" w:rsidRDefault="000B481A"/>
    <w:sectPr w:rsidR="000B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1A" w:rsidRDefault="000B481A" w:rsidP="000B481A">
      <w:pPr>
        <w:spacing w:after="0" w:line="240" w:lineRule="auto"/>
      </w:pPr>
      <w:r>
        <w:separator/>
      </w:r>
    </w:p>
  </w:endnote>
  <w:endnote w:type="continuationSeparator" w:id="0">
    <w:p w:rsidR="000B481A" w:rsidRDefault="000B481A" w:rsidP="000B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1A" w:rsidRDefault="000B481A" w:rsidP="000B481A">
      <w:pPr>
        <w:spacing w:after="0" w:line="240" w:lineRule="auto"/>
      </w:pPr>
      <w:r>
        <w:separator/>
      </w:r>
    </w:p>
  </w:footnote>
  <w:footnote w:type="continuationSeparator" w:id="0">
    <w:p w:rsidR="000B481A" w:rsidRDefault="000B481A" w:rsidP="000B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019"/>
    <w:multiLevelType w:val="hybridMultilevel"/>
    <w:tmpl w:val="9F945F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1A"/>
    <w:rsid w:val="00051F8A"/>
    <w:rsid w:val="000B481A"/>
    <w:rsid w:val="000E4FE6"/>
    <w:rsid w:val="00251C64"/>
    <w:rsid w:val="004138F1"/>
    <w:rsid w:val="00465CD9"/>
    <w:rsid w:val="00972CC9"/>
    <w:rsid w:val="00A376B0"/>
    <w:rsid w:val="00AA4967"/>
    <w:rsid w:val="00AC7874"/>
    <w:rsid w:val="00B1265C"/>
    <w:rsid w:val="00F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075B"/>
  <w15:chartTrackingRefBased/>
  <w15:docId w15:val="{DA94E17E-01A2-4192-943E-9F0BCF2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1A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51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481A"/>
    <w:pPr>
      <w:ind w:left="720"/>
      <w:contextualSpacing/>
    </w:pPr>
  </w:style>
  <w:style w:type="paragraph" w:styleId="Ingetavstnd">
    <w:name w:val="No Spacing"/>
    <w:uiPriority w:val="1"/>
    <w:qFormat/>
    <w:rsid w:val="000B481A"/>
    <w:pPr>
      <w:spacing w:after="0" w:line="240" w:lineRule="auto"/>
    </w:pPr>
  </w:style>
  <w:style w:type="table" w:styleId="Tabellrutnt">
    <w:name w:val="Table Grid"/>
    <w:basedOn w:val="Normaltabell"/>
    <w:uiPriority w:val="59"/>
    <w:rsid w:val="000B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B481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481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481A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0B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51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Pellberg</dc:creator>
  <cp:keywords/>
  <dc:description/>
  <cp:lastModifiedBy>Elin Pellberg</cp:lastModifiedBy>
  <cp:revision>3</cp:revision>
  <dcterms:created xsi:type="dcterms:W3CDTF">2017-10-04T10:53:00Z</dcterms:created>
  <dcterms:modified xsi:type="dcterms:W3CDTF">2017-10-04T11:08:00Z</dcterms:modified>
</cp:coreProperties>
</file>