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993" w:rsidRDefault="008D5993" w:rsidP="008D5993">
      <w:pPr>
        <w:pStyle w:val="Rubrik1"/>
      </w:pPr>
      <w:r>
        <w:t>Analys: tema dystopier/postapokalyptisk fiktion</w:t>
      </w:r>
    </w:p>
    <w:p w:rsidR="008D5993" w:rsidRDefault="008D5993" w:rsidP="008D5993">
      <w:pPr>
        <w:rPr>
          <w:lang w:eastAsia="en-US"/>
        </w:rPr>
      </w:pPr>
    </w:p>
    <w:p w:rsidR="00040E04" w:rsidRDefault="00040E04" w:rsidP="00040E04">
      <w:r>
        <w:t xml:space="preserve">Du ska göra en jämförande analys som behandlar en roman och en film inom samma genre, nämligen den dystopiska/postapokalyptiska. Den kan klassas som två olika genrer, men de ligger då ganska nära varandra och överlappar varandra delvis. För närmare definition, se: </w:t>
      </w:r>
      <w:hyperlink r:id="rId5" w:history="1">
        <w:r w:rsidRPr="005B3340">
          <w:rPr>
            <w:rStyle w:val="Hyperlnk"/>
          </w:rPr>
          <w:t>http://sv.wikipedia.org/wiki/Dystopi</w:t>
        </w:r>
      </w:hyperlink>
      <w:r>
        <w:t xml:space="preserve"> och </w:t>
      </w:r>
      <w:hyperlink r:id="rId6" w:history="1">
        <w:r w:rsidRPr="005B3340">
          <w:rPr>
            <w:rStyle w:val="Hyperlnk"/>
          </w:rPr>
          <w:t>http://sv.wikipedia.org/wiki/Postapokalyptisk_science_fiction</w:t>
        </w:r>
      </w:hyperlink>
      <w:r>
        <w:t xml:space="preserve"> </w:t>
      </w:r>
    </w:p>
    <w:p w:rsidR="00040E04" w:rsidRDefault="00040E04" w:rsidP="00040E04">
      <w:r>
        <w:t>Du kan antingen välja en roman och en film som bygger på den romanen (</w:t>
      </w:r>
      <w:r w:rsidR="007553C6">
        <w:t>de första tretton verken i listorna nedan</w:t>
      </w:r>
      <w:r>
        <w:t xml:space="preserve">) eller en roman och en film som är helt separata. </w:t>
      </w:r>
    </w:p>
    <w:p w:rsidR="00040E04" w:rsidRDefault="00040E04" w:rsidP="00040E04"/>
    <w:p w:rsidR="00040E04" w:rsidRDefault="00040E04" w:rsidP="00040E04">
      <w:r>
        <w:t xml:space="preserve">Utöver vald </w:t>
      </w:r>
      <w:r w:rsidR="000F77C6">
        <w:t xml:space="preserve">roman och film bör du använda dig av någon faktamässig källa som behandlar genren/genrerna. </w:t>
      </w:r>
      <w:r w:rsidR="0008019C">
        <w:t xml:space="preserve">Länkarna ovan och följande länk </w:t>
      </w:r>
      <w:hyperlink r:id="rId7" w:history="1">
        <w:r w:rsidR="0008019C" w:rsidRPr="004A740D">
          <w:rPr>
            <w:rStyle w:val="Hyperlnk"/>
          </w:rPr>
          <w:t>http://www.ur.se/Produkter/171323-Tre-berattelser-Berattelser-om-dystopier</w:t>
        </w:r>
      </w:hyperlink>
      <w:r w:rsidR="0008019C">
        <w:t xml:space="preserve"> går bra att använda som källor. </w:t>
      </w:r>
    </w:p>
    <w:p w:rsidR="0008019C" w:rsidRDefault="0008019C" w:rsidP="00040E04"/>
    <w:p w:rsidR="0008019C" w:rsidRPr="0008019C" w:rsidRDefault="0008019C" w:rsidP="00040E04">
      <w:pPr>
        <w:rPr>
          <w:i/>
        </w:rPr>
      </w:pPr>
      <w:r w:rsidRPr="0008019C">
        <w:rPr>
          <w:i/>
        </w:rPr>
        <w:t xml:space="preserve">Exempel på olika aspekter som kan vara intressanta att analysera är miljö, karaktärer, berättarteknik, handling och tema/budskap. Du behöver inte bocka av alla dessa punkter utan fokusera på den/de som du tycker är mest intressanta när det gäller din roman och film. </w:t>
      </w:r>
    </w:p>
    <w:p w:rsidR="00040E04" w:rsidRDefault="00040E04" w:rsidP="00040E04"/>
    <w:p w:rsidR="00040E04" w:rsidRPr="004F45D0" w:rsidRDefault="00040E04" w:rsidP="00040E04">
      <w:r w:rsidRPr="004F45D0">
        <w:t xml:space="preserve">Din analys ska följa mallen för en vetenskaplig uppsats eller rapport, som du finner på s. 56 – 60 i </w:t>
      </w:r>
      <w:r w:rsidRPr="004F45D0">
        <w:rPr>
          <w:i/>
        </w:rPr>
        <w:t xml:space="preserve">BRUS-Handboken. </w:t>
      </w:r>
      <w:r w:rsidRPr="004F45D0">
        <w:t xml:space="preserve">Använd dispositionsmallen i den högra spalten i rutan på s. 56. På s. 42 – 53 i finner du ytterligare tips för hur en sådan typ av text ska skrivas. </w:t>
      </w:r>
    </w:p>
    <w:p w:rsidR="00040E04" w:rsidRPr="004F45D0" w:rsidRDefault="00040E04" w:rsidP="00040E04">
      <w:r w:rsidRPr="004F45D0">
        <w:t xml:space="preserve">Inlämning senast </w:t>
      </w:r>
      <w:r w:rsidR="000F77C6">
        <w:t>fredag 21/11</w:t>
      </w:r>
      <w:r w:rsidRPr="004F45D0">
        <w:t xml:space="preserve"> (19.00). Omfång: max 8 sidor, inklusive titelsida och källförteckning.</w:t>
      </w:r>
    </w:p>
    <w:p w:rsidR="00040E04" w:rsidRPr="004F45D0" w:rsidRDefault="00040E04" w:rsidP="00040E04">
      <w:r w:rsidRPr="004F45D0">
        <w:t xml:space="preserve">Lektionstiden </w:t>
      </w:r>
      <w:r w:rsidR="000F77C6">
        <w:t>v. 46 och v. 47</w:t>
      </w:r>
      <w:r w:rsidRPr="004F45D0">
        <w:t xml:space="preserve"> viks åt att arbeta med analysen. </w:t>
      </w:r>
    </w:p>
    <w:p w:rsidR="00040E04" w:rsidRPr="008D5993" w:rsidRDefault="00040E04" w:rsidP="008D5993">
      <w:pPr>
        <w:rPr>
          <w:lang w:eastAsia="en-US"/>
        </w:rPr>
      </w:pPr>
    </w:p>
    <w:p w:rsidR="00C922A7" w:rsidRDefault="00C922A7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p w:rsidR="00D8367C" w:rsidRDefault="00D8367C" w:rsidP="008D5993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979"/>
        <w:gridCol w:w="4309"/>
      </w:tblGrid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pPr>
              <w:rPr>
                <w:b/>
              </w:rPr>
            </w:pPr>
            <w:r w:rsidRPr="00D8367C">
              <w:rPr>
                <w:b/>
              </w:rPr>
              <w:t>Romaner</w:t>
            </w:r>
          </w:p>
        </w:tc>
        <w:tc>
          <w:tcPr>
            <w:tcW w:w="4309" w:type="dxa"/>
          </w:tcPr>
          <w:p w:rsidR="00D8367C" w:rsidRPr="00D8367C" w:rsidRDefault="00D8367C" w:rsidP="00856181">
            <w:pPr>
              <w:rPr>
                <w:b/>
              </w:rPr>
            </w:pPr>
            <w:r>
              <w:rPr>
                <w:b/>
              </w:rPr>
              <w:t>Filmer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r w:rsidRPr="00D8367C">
              <w:rPr>
                <w:i/>
              </w:rPr>
              <w:t>1984</w:t>
            </w:r>
            <w:r w:rsidRPr="00D8367C">
              <w:t xml:space="preserve"> (George Orwell) </w:t>
            </w:r>
          </w:p>
        </w:tc>
        <w:tc>
          <w:tcPr>
            <w:tcW w:w="4309" w:type="dxa"/>
          </w:tcPr>
          <w:p w:rsidR="00D8367C" w:rsidRPr="00D8367C" w:rsidRDefault="00D8367C" w:rsidP="00856181">
            <w:r>
              <w:rPr>
                <w:i/>
              </w:rPr>
              <w:t>1984</w:t>
            </w:r>
            <w:r>
              <w:t xml:space="preserve"> (1984)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proofErr w:type="spellStart"/>
            <w:r w:rsidRPr="00D8367C">
              <w:rPr>
                <w:i/>
              </w:rPr>
              <w:t>Farenheit</w:t>
            </w:r>
            <w:proofErr w:type="spellEnd"/>
            <w:r w:rsidRPr="00D8367C">
              <w:rPr>
                <w:i/>
              </w:rPr>
              <w:t xml:space="preserve"> 451 </w:t>
            </w:r>
            <w:r w:rsidRPr="00D8367C">
              <w:t>(Ray Bradbury)</w:t>
            </w:r>
          </w:p>
        </w:tc>
        <w:tc>
          <w:tcPr>
            <w:tcW w:w="4309" w:type="dxa"/>
          </w:tcPr>
          <w:p w:rsidR="00D8367C" w:rsidRPr="00D8367C" w:rsidRDefault="00D8367C" w:rsidP="00856181">
            <w:proofErr w:type="spellStart"/>
            <w:r>
              <w:rPr>
                <w:i/>
              </w:rPr>
              <w:t>Farenheit</w:t>
            </w:r>
            <w:proofErr w:type="spellEnd"/>
            <w:r>
              <w:rPr>
                <w:i/>
              </w:rPr>
              <w:t xml:space="preserve"> 451 </w:t>
            </w:r>
            <w:r>
              <w:t>(1966)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r w:rsidRPr="00D8367C">
              <w:rPr>
                <w:i/>
              </w:rPr>
              <w:t xml:space="preserve">På stranden </w:t>
            </w:r>
            <w:r w:rsidRPr="00D8367C">
              <w:t>(</w:t>
            </w:r>
            <w:proofErr w:type="spellStart"/>
            <w:r w:rsidRPr="00D8367C">
              <w:t>Nevil</w:t>
            </w:r>
            <w:proofErr w:type="spellEnd"/>
            <w:r w:rsidRPr="00D8367C">
              <w:t xml:space="preserve"> </w:t>
            </w:r>
            <w:proofErr w:type="spellStart"/>
            <w:r w:rsidRPr="00D8367C">
              <w:t>Shute</w:t>
            </w:r>
            <w:proofErr w:type="spellEnd"/>
            <w:r w:rsidRPr="00D8367C">
              <w:t>)</w:t>
            </w:r>
          </w:p>
        </w:tc>
        <w:tc>
          <w:tcPr>
            <w:tcW w:w="4309" w:type="dxa"/>
          </w:tcPr>
          <w:p w:rsidR="00D8367C" w:rsidRPr="00D8367C" w:rsidRDefault="00D8367C" w:rsidP="00856181">
            <w:r>
              <w:rPr>
                <w:i/>
              </w:rPr>
              <w:t xml:space="preserve">På stranden </w:t>
            </w:r>
            <w:r>
              <w:t>(1959)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r w:rsidRPr="00D8367C">
              <w:rPr>
                <w:i/>
              </w:rPr>
              <w:t xml:space="preserve">Den flyende mannen </w:t>
            </w:r>
            <w:r w:rsidRPr="00D8367C">
              <w:t>(Richard Bachman, pseudonym för Stephen King)</w:t>
            </w:r>
          </w:p>
        </w:tc>
        <w:tc>
          <w:tcPr>
            <w:tcW w:w="4309" w:type="dxa"/>
          </w:tcPr>
          <w:p w:rsidR="00D8367C" w:rsidRPr="00D8367C" w:rsidRDefault="00D8367C" w:rsidP="00856181">
            <w:r>
              <w:rPr>
                <w:i/>
              </w:rPr>
              <w:t xml:space="preserve">The </w:t>
            </w:r>
            <w:proofErr w:type="spellStart"/>
            <w:r>
              <w:rPr>
                <w:i/>
              </w:rPr>
              <w:t>Running</w:t>
            </w:r>
            <w:proofErr w:type="spellEnd"/>
            <w:r>
              <w:rPr>
                <w:i/>
              </w:rPr>
              <w:t xml:space="preserve"> Man </w:t>
            </w:r>
            <w:r>
              <w:t>(1987)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proofErr w:type="spellStart"/>
            <w:r w:rsidRPr="00D8367C">
              <w:rPr>
                <w:i/>
              </w:rPr>
              <w:t>Androidens</w:t>
            </w:r>
            <w:proofErr w:type="spellEnd"/>
            <w:r w:rsidRPr="00D8367C">
              <w:rPr>
                <w:i/>
              </w:rPr>
              <w:t xml:space="preserve"> drömmar</w:t>
            </w:r>
            <w:r w:rsidRPr="00D8367C">
              <w:t xml:space="preserve"> </w:t>
            </w:r>
            <w:r w:rsidRPr="00D8367C">
              <w:rPr>
                <w:i/>
              </w:rPr>
              <w:t>(</w:t>
            </w:r>
            <w:proofErr w:type="spellStart"/>
            <w:r w:rsidRPr="00D8367C">
              <w:rPr>
                <w:i/>
              </w:rPr>
              <w:t>Blade</w:t>
            </w:r>
            <w:proofErr w:type="spellEnd"/>
            <w:r w:rsidRPr="00D8367C">
              <w:rPr>
                <w:i/>
              </w:rPr>
              <w:t xml:space="preserve"> Runner) </w:t>
            </w:r>
            <w:r w:rsidRPr="00D8367C">
              <w:t>(Philip K. Dick)</w:t>
            </w:r>
          </w:p>
        </w:tc>
        <w:tc>
          <w:tcPr>
            <w:tcW w:w="4309" w:type="dxa"/>
          </w:tcPr>
          <w:p w:rsidR="00D8367C" w:rsidRPr="00D8367C" w:rsidRDefault="00D8367C" w:rsidP="00856181">
            <w:proofErr w:type="spellStart"/>
            <w:r>
              <w:rPr>
                <w:i/>
              </w:rPr>
              <w:t>Blade</w:t>
            </w:r>
            <w:proofErr w:type="spellEnd"/>
            <w:r>
              <w:rPr>
                <w:i/>
              </w:rPr>
              <w:t xml:space="preserve"> Runner </w:t>
            </w:r>
            <w:r>
              <w:t>(1982)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r w:rsidRPr="00D8367C">
              <w:rPr>
                <w:i/>
              </w:rPr>
              <w:t xml:space="preserve">Varulvarnas natt </w:t>
            </w:r>
            <w:r w:rsidRPr="00D8367C">
              <w:t>(Richard Matheson)</w:t>
            </w:r>
          </w:p>
        </w:tc>
        <w:tc>
          <w:tcPr>
            <w:tcW w:w="4309" w:type="dxa"/>
          </w:tcPr>
          <w:p w:rsidR="00D8367C" w:rsidRPr="00D8367C" w:rsidRDefault="00D8367C" w:rsidP="00856181">
            <w:r>
              <w:rPr>
                <w:i/>
              </w:rPr>
              <w:t xml:space="preserve">I </w:t>
            </w:r>
            <w:proofErr w:type="spellStart"/>
            <w:r>
              <w:rPr>
                <w:i/>
              </w:rPr>
              <w:t>Am</w:t>
            </w:r>
            <w:proofErr w:type="spellEnd"/>
            <w:r>
              <w:rPr>
                <w:i/>
              </w:rPr>
              <w:t xml:space="preserve"> Legend </w:t>
            </w:r>
            <w:r>
              <w:t>(2007)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r w:rsidRPr="00D8367C">
              <w:rPr>
                <w:i/>
              </w:rPr>
              <w:t xml:space="preserve">Flykten från framtiden </w:t>
            </w:r>
            <w:r w:rsidRPr="00D8367C">
              <w:t>(William F Nolan och George Clayton Johnson)</w:t>
            </w:r>
          </w:p>
        </w:tc>
        <w:tc>
          <w:tcPr>
            <w:tcW w:w="4309" w:type="dxa"/>
          </w:tcPr>
          <w:p w:rsidR="00D8367C" w:rsidRPr="00D8367C" w:rsidRDefault="00D8367C" w:rsidP="00856181">
            <w:r>
              <w:rPr>
                <w:i/>
              </w:rPr>
              <w:t xml:space="preserve">Flykten från framtiden </w:t>
            </w:r>
            <w:r>
              <w:t>(1976)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r w:rsidRPr="00D8367C">
              <w:rPr>
                <w:i/>
              </w:rPr>
              <w:t xml:space="preserve">Apornas planet </w:t>
            </w:r>
            <w:r w:rsidRPr="00D8367C">
              <w:t xml:space="preserve">(Pierre </w:t>
            </w:r>
            <w:proofErr w:type="spellStart"/>
            <w:r w:rsidRPr="00D8367C">
              <w:t>Boulle</w:t>
            </w:r>
            <w:proofErr w:type="spellEnd"/>
            <w:r w:rsidRPr="00D8367C">
              <w:t>)</w:t>
            </w:r>
          </w:p>
        </w:tc>
        <w:tc>
          <w:tcPr>
            <w:tcW w:w="4309" w:type="dxa"/>
          </w:tcPr>
          <w:p w:rsidR="00D8367C" w:rsidRPr="00D8367C" w:rsidRDefault="00D8367C" w:rsidP="00856181">
            <w:r>
              <w:rPr>
                <w:i/>
              </w:rPr>
              <w:t xml:space="preserve">Apornas planet </w:t>
            </w:r>
            <w:r>
              <w:t>(1968, 2001)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r w:rsidRPr="00D8367C">
              <w:rPr>
                <w:i/>
              </w:rPr>
              <w:t>Hungerspelen</w:t>
            </w:r>
            <w:r w:rsidRPr="00D8367C">
              <w:t xml:space="preserve"> (Suzanne Collins)</w:t>
            </w:r>
          </w:p>
        </w:tc>
        <w:tc>
          <w:tcPr>
            <w:tcW w:w="4309" w:type="dxa"/>
          </w:tcPr>
          <w:p w:rsidR="00D8367C" w:rsidRPr="00D8367C" w:rsidRDefault="00D8367C" w:rsidP="00856181">
            <w:r>
              <w:rPr>
                <w:i/>
              </w:rPr>
              <w:t xml:space="preserve">Hunger Games </w:t>
            </w:r>
            <w:r>
              <w:t>(2012)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r>
              <w:rPr>
                <w:i/>
              </w:rPr>
              <w:t>Divergent</w:t>
            </w:r>
            <w:r>
              <w:t xml:space="preserve"> (Veronica Roth)</w:t>
            </w:r>
          </w:p>
        </w:tc>
        <w:tc>
          <w:tcPr>
            <w:tcW w:w="4309" w:type="dxa"/>
          </w:tcPr>
          <w:p w:rsidR="00D8367C" w:rsidRPr="00D8367C" w:rsidRDefault="00D8367C" w:rsidP="00856181">
            <w:r>
              <w:rPr>
                <w:i/>
              </w:rPr>
              <w:t>Divergent</w:t>
            </w:r>
            <w:r>
              <w:t xml:space="preserve"> (2014)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r w:rsidRPr="00D8367C">
              <w:rPr>
                <w:i/>
              </w:rPr>
              <w:t>Och världen skälvde</w:t>
            </w:r>
            <w:r w:rsidRPr="00D8367C">
              <w:t xml:space="preserve"> (</w:t>
            </w:r>
            <w:proofErr w:type="spellStart"/>
            <w:r w:rsidRPr="00D8367C">
              <w:t>Ayn</w:t>
            </w:r>
            <w:proofErr w:type="spellEnd"/>
            <w:r w:rsidRPr="00D8367C">
              <w:t xml:space="preserve"> Rand)</w:t>
            </w:r>
          </w:p>
        </w:tc>
        <w:tc>
          <w:tcPr>
            <w:tcW w:w="4309" w:type="dxa"/>
          </w:tcPr>
          <w:p w:rsidR="00D8367C" w:rsidRPr="00D8367C" w:rsidRDefault="00D8367C" w:rsidP="00856181">
            <w:r>
              <w:rPr>
                <w:i/>
              </w:rPr>
              <w:t xml:space="preserve">Atlas </w:t>
            </w:r>
            <w:proofErr w:type="spellStart"/>
            <w:r>
              <w:rPr>
                <w:i/>
              </w:rPr>
              <w:t>Shrugged</w:t>
            </w:r>
            <w:proofErr w:type="spellEnd"/>
            <w:r>
              <w:t xml:space="preserve"> (2011)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pPr>
              <w:rPr>
                <w:lang w:val="en-GB"/>
              </w:rPr>
            </w:pPr>
            <w:r w:rsidRPr="00D8367C">
              <w:rPr>
                <w:i/>
                <w:lang w:val="en-GB"/>
              </w:rPr>
              <w:t>Never Let Me Go</w:t>
            </w:r>
            <w:r w:rsidRPr="00D8367C">
              <w:rPr>
                <w:lang w:val="en-GB"/>
              </w:rPr>
              <w:t xml:space="preserve"> (Kazuo Ishiguro)</w:t>
            </w:r>
          </w:p>
        </w:tc>
        <w:tc>
          <w:tcPr>
            <w:tcW w:w="4309" w:type="dxa"/>
          </w:tcPr>
          <w:p w:rsidR="00D8367C" w:rsidRPr="00D8367C" w:rsidRDefault="00D8367C" w:rsidP="00856181">
            <w:pPr>
              <w:rPr>
                <w:lang w:val="en-GB"/>
              </w:rPr>
            </w:pPr>
            <w:r>
              <w:rPr>
                <w:i/>
                <w:lang w:val="en-GB"/>
              </w:rPr>
              <w:t xml:space="preserve">Never Let Me Go </w:t>
            </w:r>
            <w:r>
              <w:rPr>
                <w:lang w:val="en-GB"/>
              </w:rPr>
              <w:t>(2010)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r w:rsidRPr="00D8367C">
              <w:rPr>
                <w:i/>
              </w:rPr>
              <w:t xml:space="preserve">Människors barn </w:t>
            </w:r>
            <w:r w:rsidRPr="00D8367C">
              <w:t>(P.D. James)</w:t>
            </w:r>
          </w:p>
        </w:tc>
        <w:tc>
          <w:tcPr>
            <w:tcW w:w="4309" w:type="dxa"/>
          </w:tcPr>
          <w:p w:rsidR="00D8367C" w:rsidRPr="00D8367C" w:rsidRDefault="00D8367C" w:rsidP="00856181">
            <w:r>
              <w:rPr>
                <w:i/>
              </w:rPr>
              <w:t xml:space="preserve">Children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Men </w:t>
            </w:r>
            <w:r>
              <w:t>(2006)</w:t>
            </w:r>
          </w:p>
        </w:tc>
      </w:tr>
      <w:tr w:rsidR="00D8367C" w:rsidRPr="00D8367C" w:rsidTr="00D8367C">
        <w:tc>
          <w:tcPr>
            <w:tcW w:w="4979" w:type="dxa"/>
          </w:tcPr>
          <w:p w:rsidR="00D8367C" w:rsidRPr="00D8367C" w:rsidRDefault="00D8367C" w:rsidP="00856181">
            <w:r w:rsidRPr="00D8367C">
              <w:rPr>
                <w:i/>
              </w:rPr>
              <w:t xml:space="preserve">Vägen </w:t>
            </w:r>
            <w:r w:rsidRPr="00D8367C">
              <w:t xml:space="preserve">(Joe </w:t>
            </w:r>
            <w:proofErr w:type="spellStart"/>
            <w:r w:rsidRPr="00D8367C">
              <w:t>Penhall</w:t>
            </w:r>
            <w:proofErr w:type="spellEnd"/>
            <w:r w:rsidRPr="00D8367C">
              <w:t xml:space="preserve"> och </w:t>
            </w:r>
            <w:proofErr w:type="spellStart"/>
            <w:r w:rsidRPr="00D8367C">
              <w:t>Cormac</w:t>
            </w:r>
            <w:proofErr w:type="spellEnd"/>
            <w:r w:rsidRPr="00D8367C">
              <w:t xml:space="preserve"> McCarthy)</w:t>
            </w:r>
          </w:p>
        </w:tc>
        <w:tc>
          <w:tcPr>
            <w:tcW w:w="4309" w:type="dxa"/>
          </w:tcPr>
          <w:p w:rsidR="00D8367C" w:rsidRPr="00D8367C" w:rsidRDefault="00D8367C" w:rsidP="00856181">
            <w:r>
              <w:rPr>
                <w:i/>
              </w:rPr>
              <w:t xml:space="preserve">Vägen </w:t>
            </w:r>
            <w:r>
              <w:t>(2009)</w:t>
            </w:r>
          </w:p>
        </w:tc>
      </w:tr>
      <w:tr w:rsidR="007050DE" w:rsidRPr="00D8367C" w:rsidTr="00D8367C">
        <w:tc>
          <w:tcPr>
            <w:tcW w:w="4979" w:type="dxa"/>
          </w:tcPr>
          <w:p w:rsidR="007050DE" w:rsidRPr="007050DE" w:rsidRDefault="007050DE" w:rsidP="00856181">
            <w:r>
              <w:rPr>
                <w:i/>
              </w:rPr>
              <w:t xml:space="preserve">Tjänarinnans berättelse </w:t>
            </w:r>
            <w:r>
              <w:t xml:space="preserve">(Margaret Atwood) </w:t>
            </w:r>
          </w:p>
        </w:tc>
        <w:tc>
          <w:tcPr>
            <w:tcW w:w="4309" w:type="dxa"/>
          </w:tcPr>
          <w:p w:rsidR="007050DE" w:rsidRPr="007050DE" w:rsidRDefault="007050DE" w:rsidP="00856181">
            <w:r>
              <w:rPr>
                <w:i/>
              </w:rPr>
              <w:t xml:space="preserve">The </w:t>
            </w:r>
            <w:proofErr w:type="spellStart"/>
            <w:r>
              <w:rPr>
                <w:i/>
              </w:rPr>
              <w:t>Handmaid’s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Tale</w:t>
            </w:r>
            <w:proofErr w:type="spellEnd"/>
            <w:r>
              <w:rPr>
                <w:i/>
              </w:rPr>
              <w:t xml:space="preserve"> </w:t>
            </w:r>
            <w:r>
              <w:t>(TV-serie, 2017)</w:t>
            </w:r>
            <w:bookmarkStart w:id="0" w:name="_GoBack"/>
            <w:bookmarkEnd w:id="0"/>
          </w:p>
        </w:tc>
      </w:tr>
    </w:tbl>
    <w:p w:rsidR="00D8367C" w:rsidRDefault="00D8367C" w:rsidP="008D5993">
      <w:pPr>
        <w:rPr>
          <w:b/>
        </w:rPr>
      </w:pPr>
    </w:p>
    <w:p w:rsidR="00D8367C" w:rsidRPr="00D8367C" w:rsidRDefault="00D8367C" w:rsidP="008D5993">
      <w:pPr>
        <w:rPr>
          <w:b/>
        </w:rPr>
      </w:pPr>
      <w:r>
        <w:rPr>
          <w:b/>
        </w:rPr>
        <w:t>Fler romaner</w:t>
      </w:r>
    </w:p>
    <w:p w:rsidR="00D8367C" w:rsidRPr="00D8367C" w:rsidRDefault="00D8367C" w:rsidP="00D8367C">
      <w:pPr>
        <w:rPr>
          <w:i/>
        </w:rPr>
      </w:pPr>
      <w:r w:rsidRPr="00D8367C">
        <w:rPr>
          <w:i/>
        </w:rPr>
        <w:t xml:space="preserve">Metro 2033: den sista tillflykten </w:t>
      </w:r>
      <w:r w:rsidRPr="00D8367C">
        <w:t xml:space="preserve">(Dmitrij </w:t>
      </w:r>
      <w:proofErr w:type="spellStart"/>
      <w:r w:rsidRPr="00D8367C">
        <w:t>Gluchovskij</w:t>
      </w:r>
      <w:proofErr w:type="spellEnd"/>
      <w:r w:rsidRPr="00D8367C">
        <w:t>)</w:t>
      </w:r>
    </w:p>
    <w:p w:rsidR="00D8367C" w:rsidRPr="00D8367C" w:rsidRDefault="00D8367C" w:rsidP="00D8367C">
      <w:pPr>
        <w:rPr>
          <w:i/>
        </w:rPr>
      </w:pPr>
      <w:proofErr w:type="spellStart"/>
      <w:r w:rsidRPr="00D8367C">
        <w:rPr>
          <w:i/>
        </w:rPr>
        <w:t>Duck</w:t>
      </w:r>
      <w:proofErr w:type="spellEnd"/>
      <w:r w:rsidRPr="00D8367C">
        <w:rPr>
          <w:i/>
        </w:rPr>
        <w:t xml:space="preserve"> City </w:t>
      </w:r>
      <w:r w:rsidRPr="00D8367C">
        <w:t>(Lena Andersson)</w:t>
      </w:r>
    </w:p>
    <w:p w:rsidR="00D8367C" w:rsidRPr="00D8367C" w:rsidRDefault="00D8367C" w:rsidP="00D8367C">
      <w:pPr>
        <w:rPr>
          <w:i/>
        </w:rPr>
      </w:pPr>
      <w:r w:rsidRPr="00D8367C">
        <w:rPr>
          <w:i/>
        </w:rPr>
        <w:t xml:space="preserve">Vi </w:t>
      </w:r>
      <w:r w:rsidRPr="00D8367C">
        <w:t xml:space="preserve">(Jevgenij </w:t>
      </w:r>
      <w:proofErr w:type="spellStart"/>
      <w:r w:rsidRPr="00D8367C">
        <w:t>Zamjatin</w:t>
      </w:r>
      <w:proofErr w:type="spellEnd"/>
      <w:r w:rsidRPr="00D8367C">
        <w:t>)</w:t>
      </w:r>
    </w:p>
    <w:p w:rsidR="00D8367C" w:rsidRPr="00D8367C" w:rsidRDefault="00D8367C" w:rsidP="00D8367C">
      <w:pPr>
        <w:rPr>
          <w:i/>
        </w:rPr>
      </w:pPr>
      <w:proofErr w:type="spellStart"/>
      <w:r w:rsidRPr="00D8367C">
        <w:rPr>
          <w:i/>
        </w:rPr>
        <w:t>Oryx</w:t>
      </w:r>
      <w:proofErr w:type="spellEnd"/>
      <w:r w:rsidRPr="00D8367C">
        <w:rPr>
          <w:i/>
        </w:rPr>
        <w:t xml:space="preserve"> och </w:t>
      </w:r>
      <w:proofErr w:type="spellStart"/>
      <w:r w:rsidRPr="00D8367C">
        <w:rPr>
          <w:i/>
        </w:rPr>
        <w:t>Crake</w:t>
      </w:r>
      <w:proofErr w:type="spellEnd"/>
      <w:r w:rsidRPr="00D8367C">
        <w:rPr>
          <w:i/>
        </w:rPr>
        <w:t xml:space="preserve"> </w:t>
      </w:r>
      <w:r w:rsidRPr="00D8367C">
        <w:t>(Margaret Atwood)</w:t>
      </w:r>
    </w:p>
    <w:p w:rsidR="00D8367C" w:rsidRPr="00D8367C" w:rsidRDefault="00D8367C" w:rsidP="00D8367C">
      <w:pPr>
        <w:rPr>
          <w:i/>
        </w:rPr>
      </w:pPr>
      <w:r w:rsidRPr="00D8367C">
        <w:rPr>
          <w:i/>
        </w:rPr>
        <w:t xml:space="preserve">Kallocain </w:t>
      </w:r>
      <w:r w:rsidRPr="00D8367C">
        <w:t>(Karin Boye)</w:t>
      </w:r>
    </w:p>
    <w:p w:rsidR="00D8367C" w:rsidRPr="00D8367C" w:rsidRDefault="00D8367C" w:rsidP="00D8367C">
      <w:r w:rsidRPr="00D8367C">
        <w:rPr>
          <w:i/>
        </w:rPr>
        <w:t xml:space="preserve">Aniara </w:t>
      </w:r>
      <w:r w:rsidRPr="00D8367C">
        <w:t>(Harry Martinsson)</w:t>
      </w:r>
    </w:p>
    <w:p w:rsidR="00D8367C" w:rsidRPr="00D8367C" w:rsidRDefault="00D8367C" w:rsidP="00D8367C">
      <w:pPr>
        <w:rPr>
          <w:i/>
        </w:rPr>
      </w:pPr>
      <w:r w:rsidRPr="00D8367C">
        <w:rPr>
          <w:i/>
        </w:rPr>
        <w:t xml:space="preserve">Du sköna nya värld </w:t>
      </w:r>
      <w:r w:rsidRPr="00D8367C">
        <w:t>(Aldous Huxley)</w:t>
      </w:r>
    </w:p>
    <w:p w:rsidR="00D8367C" w:rsidRDefault="00D8367C" w:rsidP="00D8367C">
      <w:r w:rsidRPr="00D8367C">
        <w:rPr>
          <w:i/>
        </w:rPr>
        <w:t xml:space="preserve">Efter floden </w:t>
      </w:r>
      <w:r w:rsidRPr="00D8367C">
        <w:t>(P.C. Jersild)</w:t>
      </w:r>
    </w:p>
    <w:p w:rsidR="007050DE" w:rsidRPr="007050DE" w:rsidRDefault="007050DE" w:rsidP="00D8367C">
      <w:r>
        <w:rPr>
          <w:i/>
        </w:rPr>
        <w:t xml:space="preserve">Stjärnklart </w:t>
      </w:r>
      <w:r>
        <w:t xml:space="preserve">(Lars </w:t>
      </w:r>
      <w:proofErr w:type="spellStart"/>
      <w:r>
        <w:t>Wilderäng</w:t>
      </w:r>
      <w:proofErr w:type="spellEnd"/>
      <w:r>
        <w:t>)</w:t>
      </w:r>
    </w:p>
    <w:p w:rsidR="00D8367C" w:rsidRDefault="00D8367C" w:rsidP="008D5993">
      <w:pPr>
        <w:rPr>
          <w:b/>
        </w:rPr>
      </w:pPr>
    </w:p>
    <w:p w:rsidR="008D5993" w:rsidRDefault="00D8367C" w:rsidP="008D5993">
      <w:r>
        <w:rPr>
          <w:b/>
        </w:rPr>
        <w:t>Fler f</w:t>
      </w:r>
      <w:r w:rsidR="008D5993">
        <w:rPr>
          <w:b/>
        </w:rPr>
        <w:t>ilmer</w:t>
      </w:r>
    </w:p>
    <w:p w:rsidR="008D5993" w:rsidRPr="00D8367C" w:rsidRDefault="008D5993" w:rsidP="008D5993">
      <w:pPr>
        <w:rPr>
          <w:i/>
          <w:lang w:val="en-GB"/>
        </w:rPr>
      </w:pPr>
      <w:r w:rsidRPr="00D8367C">
        <w:rPr>
          <w:i/>
          <w:lang w:val="en-GB"/>
        </w:rPr>
        <w:t xml:space="preserve">Matrix </w:t>
      </w:r>
      <w:r w:rsidRPr="00D8367C">
        <w:rPr>
          <w:lang w:val="en-GB"/>
        </w:rPr>
        <w:t>(1999)</w:t>
      </w:r>
    </w:p>
    <w:p w:rsidR="008D5993" w:rsidRPr="00D8367C" w:rsidRDefault="008D5993" w:rsidP="008D5993">
      <w:pPr>
        <w:rPr>
          <w:lang w:val="en-GB"/>
        </w:rPr>
      </w:pPr>
      <w:r w:rsidRPr="00D8367C">
        <w:rPr>
          <w:i/>
          <w:lang w:val="en-GB"/>
        </w:rPr>
        <w:t>Terminator</w:t>
      </w:r>
      <w:r w:rsidRPr="00D8367C">
        <w:rPr>
          <w:lang w:val="en-GB"/>
        </w:rPr>
        <w:t xml:space="preserve"> (1984)</w:t>
      </w:r>
    </w:p>
    <w:p w:rsidR="008D5993" w:rsidRPr="00D8367C" w:rsidRDefault="007530B9" w:rsidP="008D5993">
      <w:pPr>
        <w:rPr>
          <w:lang w:val="en-GB"/>
        </w:rPr>
      </w:pPr>
      <w:r w:rsidRPr="00D8367C">
        <w:rPr>
          <w:i/>
          <w:lang w:val="en-GB"/>
        </w:rPr>
        <w:t xml:space="preserve">Mad Max </w:t>
      </w:r>
      <w:r w:rsidRPr="00D8367C">
        <w:rPr>
          <w:lang w:val="en-GB"/>
        </w:rPr>
        <w:t>(1979)</w:t>
      </w:r>
    </w:p>
    <w:p w:rsidR="007530B9" w:rsidRPr="00D8367C" w:rsidRDefault="007530B9" w:rsidP="008D5993">
      <w:pPr>
        <w:rPr>
          <w:lang w:val="en-GB"/>
        </w:rPr>
      </w:pPr>
      <w:proofErr w:type="spellStart"/>
      <w:r w:rsidRPr="00D8367C">
        <w:rPr>
          <w:i/>
          <w:lang w:val="en-GB"/>
        </w:rPr>
        <w:t>Waterworld</w:t>
      </w:r>
      <w:proofErr w:type="spellEnd"/>
      <w:r w:rsidRPr="00D8367C">
        <w:rPr>
          <w:lang w:val="en-GB"/>
        </w:rPr>
        <w:t xml:space="preserve"> (1995)</w:t>
      </w:r>
    </w:p>
    <w:p w:rsidR="007530B9" w:rsidRPr="00D8367C" w:rsidRDefault="007530B9" w:rsidP="008D5993">
      <w:pPr>
        <w:rPr>
          <w:lang w:val="en-GB"/>
        </w:rPr>
      </w:pPr>
      <w:r w:rsidRPr="00D8367C">
        <w:rPr>
          <w:i/>
          <w:lang w:val="en-GB"/>
        </w:rPr>
        <w:t xml:space="preserve">De 12 </w:t>
      </w:r>
      <w:proofErr w:type="spellStart"/>
      <w:r w:rsidRPr="00D8367C">
        <w:rPr>
          <w:i/>
          <w:lang w:val="en-GB"/>
        </w:rPr>
        <w:t>apornas</w:t>
      </w:r>
      <w:proofErr w:type="spellEnd"/>
      <w:r w:rsidRPr="00D8367C">
        <w:rPr>
          <w:i/>
          <w:lang w:val="en-GB"/>
        </w:rPr>
        <w:t xml:space="preserve"> </w:t>
      </w:r>
      <w:proofErr w:type="spellStart"/>
      <w:r w:rsidRPr="00D8367C">
        <w:rPr>
          <w:i/>
          <w:lang w:val="en-GB"/>
        </w:rPr>
        <w:t>armé</w:t>
      </w:r>
      <w:proofErr w:type="spellEnd"/>
      <w:r w:rsidRPr="00D8367C">
        <w:rPr>
          <w:lang w:val="en-GB"/>
        </w:rPr>
        <w:t xml:space="preserve"> (1995)</w:t>
      </w:r>
    </w:p>
    <w:p w:rsidR="00C922A7" w:rsidRPr="00D8367C" w:rsidRDefault="00C922A7" w:rsidP="008D5993">
      <w:pPr>
        <w:rPr>
          <w:lang w:val="en-GB"/>
        </w:rPr>
      </w:pPr>
      <w:proofErr w:type="spellStart"/>
      <w:r w:rsidRPr="00D8367C">
        <w:rPr>
          <w:i/>
          <w:lang w:val="en-GB"/>
        </w:rPr>
        <w:t>Alphaville</w:t>
      </w:r>
      <w:proofErr w:type="spellEnd"/>
      <w:r w:rsidRPr="00D8367C">
        <w:rPr>
          <w:i/>
          <w:lang w:val="en-GB"/>
        </w:rPr>
        <w:t xml:space="preserve"> </w:t>
      </w:r>
      <w:r w:rsidRPr="00D8367C">
        <w:rPr>
          <w:lang w:val="en-GB"/>
        </w:rPr>
        <w:t>(1965)</w:t>
      </w:r>
    </w:p>
    <w:p w:rsidR="00C922A7" w:rsidRPr="00D8367C" w:rsidRDefault="00C922A7" w:rsidP="008D5993">
      <w:pPr>
        <w:rPr>
          <w:lang w:val="en-GB"/>
        </w:rPr>
      </w:pPr>
      <w:r w:rsidRPr="00D8367C">
        <w:rPr>
          <w:i/>
          <w:lang w:val="en-GB"/>
        </w:rPr>
        <w:t xml:space="preserve">Akira </w:t>
      </w:r>
      <w:r w:rsidRPr="00D8367C">
        <w:rPr>
          <w:lang w:val="en-GB"/>
        </w:rPr>
        <w:t>(1988)</w:t>
      </w:r>
    </w:p>
    <w:p w:rsidR="00C922A7" w:rsidRPr="00D8367C" w:rsidRDefault="00C922A7" w:rsidP="008D5993">
      <w:pPr>
        <w:rPr>
          <w:lang w:val="en-GB"/>
        </w:rPr>
      </w:pPr>
      <w:r w:rsidRPr="00D8367C">
        <w:rPr>
          <w:i/>
          <w:lang w:val="en-GB"/>
        </w:rPr>
        <w:t xml:space="preserve">Brazil </w:t>
      </w:r>
      <w:r w:rsidRPr="00D8367C">
        <w:rPr>
          <w:lang w:val="en-GB"/>
        </w:rPr>
        <w:t>(1985)</w:t>
      </w:r>
    </w:p>
    <w:p w:rsidR="00C922A7" w:rsidRPr="00D8367C" w:rsidRDefault="00C922A7" w:rsidP="008D5993">
      <w:pPr>
        <w:rPr>
          <w:lang w:val="en-GB"/>
        </w:rPr>
      </w:pPr>
      <w:r w:rsidRPr="00D8367C">
        <w:rPr>
          <w:i/>
          <w:lang w:val="en-GB"/>
        </w:rPr>
        <w:t xml:space="preserve">Cubic </w:t>
      </w:r>
      <w:r w:rsidRPr="00D8367C">
        <w:rPr>
          <w:lang w:val="en-GB"/>
        </w:rPr>
        <w:t>(2002)</w:t>
      </w:r>
    </w:p>
    <w:p w:rsidR="00C922A7" w:rsidRPr="00D8367C" w:rsidRDefault="00C922A7" w:rsidP="008D5993">
      <w:pPr>
        <w:rPr>
          <w:lang w:val="en-GB"/>
        </w:rPr>
      </w:pPr>
      <w:proofErr w:type="spellStart"/>
      <w:r w:rsidRPr="00D8367C">
        <w:rPr>
          <w:i/>
          <w:lang w:val="en-GB"/>
        </w:rPr>
        <w:t>Gattaca</w:t>
      </w:r>
      <w:proofErr w:type="spellEnd"/>
      <w:r w:rsidRPr="00D8367C">
        <w:rPr>
          <w:i/>
          <w:lang w:val="en-GB"/>
        </w:rPr>
        <w:t xml:space="preserve"> </w:t>
      </w:r>
      <w:r w:rsidRPr="00D8367C">
        <w:rPr>
          <w:lang w:val="en-GB"/>
        </w:rPr>
        <w:t>(1997)</w:t>
      </w:r>
    </w:p>
    <w:p w:rsidR="00C922A7" w:rsidRPr="00D8367C" w:rsidRDefault="00C922A7" w:rsidP="008D5993">
      <w:pPr>
        <w:rPr>
          <w:lang w:val="en-GB"/>
        </w:rPr>
      </w:pPr>
      <w:r w:rsidRPr="00D8367C">
        <w:rPr>
          <w:i/>
          <w:lang w:val="en-GB"/>
        </w:rPr>
        <w:t>The Island</w:t>
      </w:r>
      <w:r w:rsidRPr="00D8367C">
        <w:rPr>
          <w:lang w:val="en-GB"/>
        </w:rPr>
        <w:t xml:space="preserve"> (2005)</w:t>
      </w:r>
    </w:p>
    <w:p w:rsidR="00C922A7" w:rsidRDefault="00C922A7" w:rsidP="00C922A7">
      <w:pPr>
        <w:jc w:val="both"/>
      </w:pPr>
      <w:proofErr w:type="spellStart"/>
      <w:r>
        <w:rPr>
          <w:i/>
        </w:rPr>
        <w:t>Metropia</w:t>
      </w:r>
      <w:proofErr w:type="spellEnd"/>
      <w:r>
        <w:rPr>
          <w:i/>
        </w:rPr>
        <w:t xml:space="preserve"> </w:t>
      </w:r>
      <w:r>
        <w:t>(2009)</w:t>
      </w:r>
    </w:p>
    <w:p w:rsidR="00C922A7" w:rsidRDefault="00C922A7" w:rsidP="00C922A7">
      <w:pPr>
        <w:jc w:val="both"/>
      </w:pPr>
      <w:proofErr w:type="spellStart"/>
      <w:r>
        <w:rPr>
          <w:i/>
        </w:rPr>
        <w:t>Soylent</w:t>
      </w:r>
      <w:proofErr w:type="spellEnd"/>
      <w:r>
        <w:rPr>
          <w:i/>
        </w:rPr>
        <w:t xml:space="preserve"> Green – USA år 2022 </w:t>
      </w:r>
      <w:r>
        <w:t>(1976)</w:t>
      </w:r>
    </w:p>
    <w:p w:rsidR="00C922A7" w:rsidRDefault="00C922A7" w:rsidP="00C922A7">
      <w:pPr>
        <w:jc w:val="both"/>
      </w:pPr>
      <w:r>
        <w:rPr>
          <w:i/>
        </w:rPr>
        <w:t>THX 1138</w:t>
      </w:r>
      <w:r>
        <w:t xml:space="preserve"> (1971)</w:t>
      </w:r>
    </w:p>
    <w:p w:rsidR="00C922A7" w:rsidRDefault="00C922A7" w:rsidP="00C922A7">
      <w:pPr>
        <w:jc w:val="both"/>
      </w:pPr>
      <w:r>
        <w:rPr>
          <w:i/>
        </w:rPr>
        <w:t xml:space="preserve">V för Vendetta </w:t>
      </w:r>
      <w:r>
        <w:t>(2005)</w:t>
      </w:r>
    </w:p>
    <w:p w:rsidR="00C922A7" w:rsidRPr="00C922A7" w:rsidRDefault="00C922A7" w:rsidP="00C922A7">
      <w:pPr>
        <w:jc w:val="both"/>
      </w:pPr>
    </w:p>
    <w:p w:rsidR="007530B9" w:rsidRDefault="007530B9" w:rsidP="008D5993">
      <w:pPr>
        <w:rPr>
          <w:i/>
        </w:rPr>
      </w:pPr>
    </w:p>
    <w:p w:rsidR="00D8367C" w:rsidRDefault="00D8367C" w:rsidP="008D5993">
      <w:pPr>
        <w:rPr>
          <w:i/>
        </w:rPr>
      </w:pPr>
    </w:p>
    <w:p w:rsidR="00D8367C" w:rsidRDefault="00D8367C" w:rsidP="008D5993">
      <w:pPr>
        <w:rPr>
          <w:i/>
        </w:rPr>
      </w:pPr>
    </w:p>
    <w:p w:rsidR="00C922A7" w:rsidRPr="00C922A7" w:rsidRDefault="0008019C" w:rsidP="00C922A7">
      <w:pPr>
        <w:spacing w:before="100" w:beforeAutospacing="1" w:after="6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C922A7" w:rsidRPr="00C922A7">
        <w:rPr>
          <w:b/>
          <w:sz w:val="20"/>
          <w:szCs w:val="20"/>
        </w:rPr>
        <w:t>. Kunskaper om språkriktighet i text samt förmåga att utforma muntliga framställningar och texter som fungerar väl i sitt sammanhang.</w:t>
      </w:r>
    </w:p>
    <w:p w:rsidR="00C922A7" w:rsidRPr="00C922A7" w:rsidRDefault="00C922A7" w:rsidP="00C922A7">
      <w:pPr>
        <w:spacing w:before="100" w:beforeAutospacing="1" w:after="60"/>
        <w:rPr>
          <w:b/>
          <w:sz w:val="20"/>
          <w:szCs w:val="20"/>
        </w:rPr>
      </w:pPr>
      <w:r w:rsidRPr="00C922A7">
        <w:rPr>
          <w:b/>
          <w:sz w:val="20"/>
          <w:szCs w:val="20"/>
        </w:rPr>
        <w:t>3. Kunskaper om den retoriska arbetsprocessen, dvs. att på ett strukturerat och metodiskt sätt planera och genomföra muntlig och skriftlig framställning som tar hänsyn till syfte, mottagare och kommunikationssituation i övrigt.</w:t>
      </w:r>
    </w:p>
    <w:p w:rsidR="00C922A7" w:rsidRPr="00C922A7" w:rsidRDefault="00C922A7" w:rsidP="00C922A7">
      <w:pPr>
        <w:spacing w:before="100" w:beforeAutospacing="1" w:after="60"/>
        <w:rPr>
          <w:b/>
          <w:sz w:val="20"/>
          <w:szCs w:val="20"/>
        </w:rPr>
      </w:pPr>
      <w:r w:rsidRPr="00C922A7">
        <w:rPr>
          <w:b/>
          <w:sz w:val="20"/>
          <w:szCs w:val="20"/>
        </w:rPr>
        <w:t>4. Förmåga att läsa, arbeta med, reflektera över och kritiskt granska texter samt producera egna texter med utgångspunkt i det lästa.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922A7" w:rsidRPr="00C922A7" w:rsidTr="00752224">
        <w:tc>
          <w:tcPr>
            <w:tcW w:w="3070" w:type="dxa"/>
          </w:tcPr>
          <w:p w:rsidR="00C922A7" w:rsidRPr="00C922A7" w:rsidRDefault="00C922A7" w:rsidP="00752224">
            <w:pPr>
              <w:pStyle w:val="Ingetavst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22A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071" w:type="dxa"/>
          </w:tcPr>
          <w:p w:rsidR="00C922A7" w:rsidRPr="00C922A7" w:rsidRDefault="00C922A7" w:rsidP="00752224">
            <w:pPr>
              <w:pStyle w:val="Ingetavst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22A7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071" w:type="dxa"/>
          </w:tcPr>
          <w:p w:rsidR="00C922A7" w:rsidRPr="00C922A7" w:rsidRDefault="00C922A7" w:rsidP="00752224">
            <w:pPr>
              <w:pStyle w:val="Ingetavst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22A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C922A7" w:rsidRPr="00C922A7" w:rsidTr="00752224">
        <w:tc>
          <w:tcPr>
            <w:tcW w:w="3070" w:type="dxa"/>
          </w:tcPr>
          <w:p w:rsidR="00C922A7" w:rsidRPr="00C922A7" w:rsidRDefault="00C922A7" w:rsidP="0075222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922A7">
              <w:rPr>
                <w:sz w:val="20"/>
                <w:szCs w:val="20"/>
              </w:rPr>
              <w:t xml:space="preserve">Elever kan </w:t>
            </w:r>
            <w:r w:rsidRPr="00C922A7">
              <w:rPr>
                <w:b/>
                <w:bCs/>
                <w:sz w:val="20"/>
                <w:szCs w:val="20"/>
              </w:rPr>
              <w:t xml:space="preserve">med viss säkerhet </w:t>
            </w:r>
            <w:r w:rsidRPr="00C922A7">
              <w:rPr>
                <w:sz w:val="20"/>
                <w:szCs w:val="20"/>
              </w:rPr>
              <w:t xml:space="preserve">samla, sovra och sammanställa stora mängder information från olika källor och kan med utgångspunkt från detta skriva texter av vetenskaplig karaktär och andra texter. Texterna är sammanhängande </w:t>
            </w:r>
            <w:r w:rsidRPr="00C922A7">
              <w:rPr>
                <w:b/>
                <w:bCs/>
                <w:sz w:val="20"/>
                <w:szCs w:val="20"/>
              </w:rPr>
              <w:t>och har tydligt urskiljbar disposition</w:t>
            </w:r>
            <w:r w:rsidRPr="00C922A7">
              <w:rPr>
                <w:sz w:val="20"/>
                <w:szCs w:val="20"/>
              </w:rPr>
              <w:t>.</w:t>
            </w:r>
          </w:p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C922A7" w:rsidRPr="00C922A7" w:rsidRDefault="00C922A7" w:rsidP="0075222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922A7">
              <w:rPr>
                <w:sz w:val="20"/>
                <w:szCs w:val="20"/>
              </w:rPr>
              <w:t xml:space="preserve">Elever kan </w:t>
            </w:r>
            <w:r w:rsidRPr="00C922A7">
              <w:rPr>
                <w:b/>
                <w:bCs/>
                <w:sz w:val="20"/>
                <w:szCs w:val="20"/>
              </w:rPr>
              <w:t xml:space="preserve">med viss säkerhet </w:t>
            </w:r>
            <w:r w:rsidRPr="00C922A7">
              <w:rPr>
                <w:sz w:val="20"/>
                <w:szCs w:val="20"/>
              </w:rPr>
              <w:t xml:space="preserve">samla, sovra och sammanställa stora mängder information från olika källor och kan med utgångspunkt från detta skriva texter av vetenskaplig karaktär och andra texter. Texterna är sammanhängande </w:t>
            </w:r>
            <w:r w:rsidRPr="00C922A7">
              <w:rPr>
                <w:b/>
                <w:bCs/>
                <w:sz w:val="20"/>
                <w:szCs w:val="20"/>
              </w:rPr>
              <w:t>och väldisponerade</w:t>
            </w:r>
            <w:r w:rsidRPr="00C922A7">
              <w:rPr>
                <w:sz w:val="20"/>
                <w:szCs w:val="20"/>
              </w:rPr>
              <w:t>.</w:t>
            </w:r>
          </w:p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C922A7" w:rsidRPr="00C922A7" w:rsidRDefault="00C922A7" w:rsidP="0075222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922A7">
              <w:rPr>
                <w:sz w:val="20"/>
                <w:szCs w:val="20"/>
              </w:rPr>
              <w:t xml:space="preserve">Elever kan </w:t>
            </w:r>
            <w:r w:rsidRPr="00C922A7">
              <w:rPr>
                <w:b/>
                <w:bCs/>
                <w:sz w:val="20"/>
                <w:szCs w:val="20"/>
              </w:rPr>
              <w:t xml:space="preserve">med säkerhet </w:t>
            </w:r>
            <w:r w:rsidRPr="00C922A7">
              <w:rPr>
                <w:sz w:val="20"/>
                <w:szCs w:val="20"/>
              </w:rPr>
              <w:t xml:space="preserve">samla, sovra och sammanställa stora mängder information från olika källor och skriver med utgångspunkt från detta texter av vetenskaplig karaktär och andra texter. Texterna är sammanhängande </w:t>
            </w:r>
            <w:r w:rsidRPr="00C922A7">
              <w:rPr>
                <w:b/>
                <w:bCs/>
                <w:sz w:val="20"/>
                <w:szCs w:val="20"/>
              </w:rPr>
              <w:t>och väldisponerade</w:t>
            </w:r>
            <w:r w:rsidRPr="00C922A7">
              <w:rPr>
                <w:sz w:val="20"/>
                <w:szCs w:val="20"/>
              </w:rPr>
              <w:t>.</w:t>
            </w:r>
          </w:p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</w:p>
        </w:tc>
      </w:tr>
      <w:tr w:rsidR="00C922A7" w:rsidRPr="00C922A7" w:rsidTr="00752224">
        <w:tc>
          <w:tcPr>
            <w:tcW w:w="3070" w:type="dxa"/>
          </w:tcPr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Texterna är dessutom </w:t>
            </w:r>
            <w:r w:rsidRPr="00C9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till viss del</w:t>
            </w: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 anpassade till syfte, mottagare och kommunikationssituation.</w:t>
            </w:r>
          </w:p>
        </w:tc>
        <w:tc>
          <w:tcPr>
            <w:tcW w:w="3071" w:type="dxa"/>
          </w:tcPr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Texterna är anpassade till syfte, mottagare och kommunikationssituation.</w:t>
            </w:r>
          </w:p>
        </w:tc>
        <w:tc>
          <w:tcPr>
            <w:tcW w:w="3071" w:type="dxa"/>
          </w:tcPr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Texterna är dessutom </w:t>
            </w:r>
            <w:r w:rsidRPr="00C9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väl</w:t>
            </w: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 anpassade till syfte, mottagare och kommunikationssituation.</w:t>
            </w:r>
          </w:p>
        </w:tc>
      </w:tr>
      <w:tr w:rsidR="00C922A7" w:rsidRPr="00C922A7" w:rsidTr="00752224">
        <w:tc>
          <w:tcPr>
            <w:tcW w:w="3070" w:type="dxa"/>
          </w:tcPr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Eleven kan värdera och granska källor kritiskt, tillämpa regler för citat- och referatteknik samt i huvudsak följa skriftspråkets normer för språkriktighet. Eleverna behandlar källorna på ett rimligt sätt och drar relevanta slutsatser utifrån källmaterialet.</w:t>
            </w:r>
          </w:p>
        </w:tc>
        <w:tc>
          <w:tcPr>
            <w:tcW w:w="3071" w:type="dxa"/>
          </w:tcPr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Eleven kan värdera och granska källor kritiskt, tillämpa regler för citat- och referatteknik samt i huvudsak följa skriftspråkets normer för språkriktighet. Eleverna behandlar källorna på ett rimligt sätt och drar relevanta slutsatser utifrån källmaterialet.</w:t>
            </w:r>
          </w:p>
        </w:tc>
        <w:tc>
          <w:tcPr>
            <w:tcW w:w="3071" w:type="dxa"/>
          </w:tcPr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Eleven kan värdera och granska källor kritiskt, tillämpa regler för citat- och referatteknik samt i huvudsak följa skriftspråkets normer för språkriktighet. Eleverna behandlar källorna på ett </w:t>
            </w:r>
            <w:r w:rsidRPr="00C9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skickligt</w:t>
            </w: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 sätt och drar relevanta slutsatser utifrån källmaterialet.</w:t>
            </w:r>
          </w:p>
        </w:tc>
      </w:tr>
      <w:tr w:rsidR="00C922A7" w:rsidRPr="00C922A7" w:rsidTr="00752224">
        <w:tc>
          <w:tcPr>
            <w:tcW w:w="3070" w:type="dxa"/>
          </w:tcPr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Språket är varierat och </w:t>
            </w:r>
            <w:r w:rsidRPr="00C9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innehåller goda formuleringar</w:t>
            </w: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.</w:t>
            </w:r>
          </w:p>
        </w:tc>
        <w:tc>
          <w:tcPr>
            <w:tcW w:w="3071" w:type="dxa"/>
          </w:tcPr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Språket är </w:t>
            </w:r>
            <w:r w:rsidRPr="00C9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klart och</w:t>
            </w: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 varierat samt </w:t>
            </w:r>
            <w:r w:rsidRPr="00C9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innehåller goda formuleringar</w:t>
            </w: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.</w:t>
            </w:r>
          </w:p>
        </w:tc>
        <w:tc>
          <w:tcPr>
            <w:tcW w:w="3071" w:type="dxa"/>
          </w:tcPr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Språket är </w:t>
            </w:r>
            <w:r w:rsidRPr="00C9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träffsäkert, klart</w:t>
            </w: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, varierat och </w:t>
            </w:r>
            <w:r w:rsidRPr="00C9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över lag</w:t>
            </w: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 </w:t>
            </w:r>
            <w:r w:rsidRPr="00C9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  <w:t>välformulerat</w:t>
            </w:r>
            <w:r w:rsidRPr="00C922A7"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.</w:t>
            </w:r>
          </w:p>
        </w:tc>
      </w:tr>
    </w:tbl>
    <w:p w:rsidR="008D5993" w:rsidRPr="00C922A7" w:rsidRDefault="008D5993" w:rsidP="008D5993">
      <w:pPr>
        <w:rPr>
          <w:i/>
          <w:sz w:val="20"/>
          <w:szCs w:val="20"/>
        </w:rPr>
      </w:pPr>
    </w:p>
    <w:p w:rsidR="00C922A7" w:rsidRPr="00C922A7" w:rsidRDefault="00C922A7" w:rsidP="00C922A7">
      <w:pPr>
        <w:spacing w:before="100" w:beforeAutospacing="1" w:after="60"/>
        <w:rPr>
          <w:b/>
          <w:sz w:val="20"/>
          <w:szCs w:val="20"/>
        </w:rPr>
      </w:pPr>
      <w:r w:rsidRPr="00C922A7">
        <w:rPr>
          <w:b/>
          <w:sz w:val="20"/>
          <w:szCs w:val="20"/>
        </w:rPr>
        <w:t>5. Kunskaper om centrala svenska och internationella skönlitterära verk och författarskap samt förmåga att sätta in dessa i ett sammanhang.</w:t>
      </w:r>
    </w:p>
    <w:p w:rsidR="00C922A7" w:rsidRPr="00C922A7" w:rsidRDefault="00C922A7" w:rsidP="00C922A7">
      <w:pPr>
        <w:spacing w:before="100" w:beforeAutospacing="1" w:after="60"/>
        <w:rPr>
          <w:b/>
          <w:sz w:val="20"/>
          <w:szCs w:val="20"/>
        </w:rPr>
      </w:pPr>
      <w:r w:rsidRPr="00C922A7">
        <w:rPr>
          <w:b/>
          <w:sz w:val="20"/>
          <w:szCs w:val="20"/>
        </w:rPr>
        <w:t>6. Kunskaper om genrer samt berättartekniska och stilistiska drag, dels i skönlitteratur från olika tider, dels i film och andra medier.</w:t>
      </w:r>
    </w:p>
    <w:p w:rsidR="00C922A7" w:rsidRPr="00C922A7" w:rsidRDefault="00C922A7" w:rsidP="00D8367C">
      <w:pPr>
        <w:spacing w:before="100" w:beforeAutospacing="1" w:after="60"/>
        <w:rPr>
          <w:sz w:val="20"/>
          <w:szCs w:val="20"/>
        </w:rPr>
      </w:pPr>
      <w:r w:rsidRPr="00C922A7">
        <w:rPr>
          <w:b/>
          <w:sz w:val="20"/>
          <w:szCs w:val="20"/>
        </w:rPr>
        <w:t>7. Förmåga att läsa, arbeta med och reflektera över skönlitteratur från olika tider och kulturer författade av såväl kvinnor som män samt producera egna texter med utgångspunkt i det lästa.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922A7" w:rsidRPr="00C922A7" w:rsidTr="00752224">
        <w:tc>
          <w:tcPr>
            <w:tcW w:w="3070" w:type="dxa"/>
          </w:tcPr>
          <w:p w:rsidR="00C922A7" w:rsidRPr="00C922A7" w:rsidRDefault="00C922A7" w:rsidP="00752224">
            <w:pPr>
              <w:pStyle w:val="Ingetavst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22A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071" w:type="dxa"/>
          </w:tcPr>
          <w:p w:rsidR="00C922A7" w:rsidRPr="00C922A7" w:rsidRDefault="00C922A7" w:rsidP="00752224">
            <w:pPr>
              <w:pStyle w:val="Ingetavst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22A7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071" w:type="dxa"/>
          </w:tcPr>
          <w:p w:rsidR="00C922A7" w:rsidRPr="00C922A7" w:rsidRDefault="00C922A7" w:rsidP="00752224">
            <w:pPr>
              <w:pStyle w:val="Ingetavst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922A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C922A7" w:rsidRPr="00C922A7" w:rsidTr="00752224">
        <w:tc>
          <w:tcPr>
            <w:tcW w:w="3070" w:type="dxa"/>
          </w:tcPr>
          <w:p w:rsidR="00C922A7" w:rsidRPr="00C922A7" w:rsidRDefault="00C922A7" w:rsidP="0075222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922A7">
              <w:rPr>
                <w:sz w:val="20"/>
                <w:szCs w:val="20"/>
              </w:rPr>
              <w:t xml:space="preserve">Eleven kan göra en fördjupad, textnära litterär analys av ett tema, en genre eller ett författarskap. I analysen använder eleven </w:t>
            </w:r>
            <w:r w:rsidRPr="00C922A7">
              <w:rPr>
                <w:b/>
                <w:bCs/>
                <w:sz w:val="20"/>
                <w:szCs w:val="20"/>
              </w:rPr>
              <w:t>med viss säkerhet</w:t>
            </w:r>
            <w:r w:rsidRPr="00C922A7">
              <w:rPr>
                <w:sz w:val="20"/>
                <w:szCs w:val="20"/>
              </w:rPr>
              <w:t xml:space="preserve"> litteraturvetenskapliga begrepp och verktyg samt ger stöd för sin tolkning genom belägg från </w:t>
            </w:r>
            <w:r w:rsidRPr="00C922A7">
              <w:rPr>
                <w:sz w:val="20"/>
                <w:szCs w:val="20"/>
              </w:rPr>
              <w:lastRenderedPageBreak/>
              <w:t>texterna.</w:t>
            </w:r>
          </w:p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C922A7" w:rsidRPr="00C922A7" w:rsidRDefault="00C922A7" w:rsidP="0075222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922A7">
              <w:rPr>
                <w:sz w:val="20"/>
                <w:szCs w:val="20"/>
              </w:rPr>
              <w:lastRenderedPageBreak/>
              <w:t xml:space="preserve">Eleven kan göra en fördjupad och </w:t>
            </w:r>
            <w:r w:rsidRPr="00C922A7">
              <w:rPr>
                <w:b/>
                <w:bCs/>
                <w:sz w:val="20"/>
                <w:szCs w:val="20"/>
              </w:rPr>
              <w:t xml:space="preserve">utförlig textnära </w:t>
            </w:r>
            <w:r w:rsidRPr="00C922A7">
              <w:rPr>
                <w:sz w:val="20"/>
                <w:szCs w:val="20"/>
              </w:rPr>
              <w:t xml:space="preserve">litterär analys av ett tema, en genre eller ett författarskap. I analysen använder eleven </w:t>
            </w:r>
            <w:r w:rsidRPr="00C922A7">
              <w:rPr>
                <w:b/>
                <w:bCs/>
                <w:sz w:val="20"/>
                <w:szCs w:val="20"/>
              </w:rPr>
              <w:t xml:space="preserve">med viss säkerhet </w:t>
            </w:r>
            <w:r w:rsidRPr="00C922A7">
              <w:rPr>
                <w:sz w:val="20"/>
                <w:szCs w:val="20"/>
              </w:rPr>
              <w:t xml:space="preserve">litteraturvetenskapliga begrepp och verktyg samt ger stöd för sin tolkning genom </w:t>
            </w:r>
            <w:r w:rsidRPr="00C922A7">
              <w:rPr>
                <w:b/>
                <w:bCs/>
                <w:sz w:val="20"/>
                <w:szCs w:val="20"/>
              </w:rPr>
              <w:t>väl valda</w:t>
            </w:r>
            <w:r w:rsidRPr="00C922A7">
              <w:rPr>
                <w:sz w:val="20"/>
                <w:szCs w:val="20"/>
              </w:rPr>
              <w:t xml:space="preserve"> belägg </w:t>
            </w:r>
            <w:r w:rsidRPr="00C922A7">
              <w:rPr>
                <w:sz w:val="20"/>
                <w:szCs w:val="20"/>
              </w:rPr>
              <w:lastRenderedPageBreak/>
              <w:t>från texterna.</w:t>
            </w:r>
          </w:p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C922A7" w:rsidRPr="00C922A7" w:rsidRDefault="00C922A7" w:rsidP="0075222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922A7">
              <w:rPr>
                <w:sz w:val="20"/>
                <w:szCs w:val="20"/>
              </w:rPr>
              <w:lastRenderedPageBreak/>
              <w:t xml:space="preserve">I Eleven kan göra en fördjupad, </w:t>
            </w:r>
            <w:r w:rsidRPr="00C922A7">
              <w:rPr>
                <w:b/>
                <w:bCs/>
                <w:sz w:val="20"/>
                <w:szCs w:val="20"/>
              </w:rPr>
              <w:t xml:space="preserve">utförlig, träffsäker och nyanserad textnära </w:t>
            </w:r>
            <w:r w:rsidRPr="00C922A7">
              <w:rPr>
                <w:sz w:val="20"/>
                <w:szCs w:val="20"/>
              </w:rPr>
              <w:t xml:space="preserve">litterär analys av ett tema, en genre eller ett författarskap </w:t>
            </w:r>
            <w:r w:rsidRPr="00C922A7">
              <w:rPr>
                <w:b/>
                <w:bCs/>
                <w:sz w:val="20"/>
                <w:szCs w:val="20"/>
              </w:rPr>
              <w:t>ur flera perspektiv</w:t>
            </w:r>
            <w:r w:rsidRPr="00C922A7">
              <w:rPr>
                <w:sz w:val="20"/>
                <w:szCs w:val="20"/>
              </w:rPr>
              <w:t xml:space="preserve">. I analysen använder eleven </w:t>
            </w:r>
            <w:r w:rsidRPr="00C922A7">
              <w:rPr>
                <w:b/>
                <w:bCs/>
                <w:sz w:val="20"/>
                <w:szCs w:val="20"/>
              </w:rPr>
              <w:t>med säkerhet</w:t>
            </w:r>
            <w:r w:rsidRPr="00C922A7">
              <w:rPr>
                <w:sz w:val="20"/>
                <w:szCs w:val="20"/>
              </w:rPr>
              <w:t xml:space="preserve"> litteraturvetenskapliga begrepp och verktyg samt ger stöd för sin tolkning genom </w:t>
            </w:r>
            <w:r w:rsidRPr="00C922A7">
              <w:rPr>
                <w:b/>
                <w:bCs/>
                <w:sz w:val="20"/>
                <w:szCs w:val="20"/>
              </w:rPr>
              <w:t>väl valda</w:t>
            </w:r>
            <w:r w:rsidRPr="00C922A7">
              <w:rPr>
                <w:sz w:val="20"/>
                <w:szCs w:val="20"/>
              </w:rPr>
              <w:t xml:space="preserve"> </w:t>
            </w:r>
            <w:r w:rsidRPr="00C922A7">
              <w:rPr>
                <w:sz w:val="20"/>
                <w:szCs w:val="20"/>
              </w:rPr>
              <w:lastRenderedPageBreak/>
              <w:t>belägg från texterna.</w:t>
            </w:r>
          </w:p>
          <w:p w:rsidR="00C922A7" w:rsidRPr="00C922A7" w:rsidRDefault="00C922A7" w:rsidP="00752224">
            <w:pPr>
              <w:pStyle w:val="Ingetavstnd"/>
              <w:rPr>
                <w:sz w:val="20"/>
                <w:szCs w:val="20"/>
              </w:rPr>
            </w:pPr>
          </w:p>
        </w:tc>
      </w:tr>
    </w:tbl>
    <w:p w:rsidR="008D5993" w:rsidRPr="00A74932" w:rsidRDefault="008D5993" w:rsidP="00D8367C"/>
    <w:sectPr w:rsidR="008D5993" w:rsidRPr="00A74932" w:rsidSect="00C0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93"/>
    <w:rsid w:val="00040E04"/>
    <w:rsid w:val="00042C06"/>
    <w:rsid w:val="0004497F"/>
    <w:rsid w:val="00063757"/>
    <w:rsid w:val="000675EE"/>
    <w:rsid w:val="00073B18"/>
    <w:rsid w:val="00076F7F"/>
    <w:rsid w:val="00077FE5"/>
    <w:rsid w:val="0008019C"/>
    <w:rsid w:val="000A169C"/>
    <w:rsid w:val="000A3D60"/>
    <w:rsid w:val="000C2FC8"/>
    <w:rsid w:val="000F58F8"/>
    <w:rsid w:val="000F77C6"/>
    <w:rsid w:val="00100F5D"/>
    <w:rsid w:val="00110372"/>
    <w:rsid w:val="00117F36"/>
    <w:rsid w:val="0014082B"/>
    <w:rsid w:val="00151D2D"/>
    <w:rsid w:val="0015784C"/>
    <w:rsid w:val="00173F05"/>
    <w:rsid w:val="00173FD1"/>
    <w:rsid w:val="00175A8E"/>
    <w:rsid w:val="00182F24"/>
    <w:rsid w:val="001A50A6"/>
    <w:rsid w:val="001C43A2"/>
    <w:rsid w:val="001D7ECB"/>
    <w:rsid w:val="001F2AC5"/>
    <w:rsid w:val="00200286"/>
    <w:rsid w:val="002028F1"/>
    <w:rsid w:val="002149EB"/>
    <w:rsid w:val="0021583A"/>
    <w:rsid w:val="002232B5"/>
    <w:rsid w:val="002232F8"/>
    <w:rsid w:val="00246281"/>
    <w:rsid w:val="002806A1"/>
    <w:rsid w:val="002845B8"/>
    <w:rsid w:val="00284A64"/>
    <w:rsid w:val="00284D09"/>
    <w:rsid w:val="00294868"/>
    <w:rsid w:val="00297CBD"/>
    <w:rsid w:val="002A1657"/>
    <w:rsid w:val="002D1B9D"/>
    <w:rsid w:val="002E0F84"/>
    <w:rsid w:val="00306886"/>
    <w:rsid w:val="00317E17"/>
    <w:rsid w:val="00332A67"/>
    <w:rsid w:val="0034671E"/>
    <w:rsid w:val="003816FB"/>
    <w:rsid w:val="00392231"/>
    <w:rsid w:val="00392774"/>
    <w:rsid w:val="00392A1F"/>
    <w:rsid w:val="003A2A91"/>
    <w:rsid w:val="003A7110"/>
    <w:rsid w:val="003B1587"/>
    <w:rsid w:val="003B73B2"/>
    <w:rsid w:val="003C25FD"/>
    <w:rsid w:val="003C4D33"/>
    <w:rsid w:val="003E710E"/>
    <w:rsid w:val="003E77DC"/>
    <w:rsid w:val="003F5DA6"/>
    <w:rsid w:val="003F659F"/>
    <w:rsid w:val="003F6E55"/>
    <w:rsid w:val="0040717F"/>
    <w:rsid w:val="00411E33"/>
    <w:rsid w:val="00414935"/>
    <w:rsid w:val="00415106"/>
    <w:rsid w:val="004208BF"/>
    <w:rsid w:val="00421B43"/>
    <w:rsid w:val="00422289"/>
    <w:rsid w:val="00430F3F"/>
    <w:rsid w:val="00431C3F"/>
    <w:rsid w:val="00433F0D"/>
    <w:rsid w:val="004361BE"/>
    <w:rsid w:val="00456D89"/>
    <w:rsid w:val="004653DC"/>
    <w:rsid w:val="00470393"/>
    <w:rsid w:val="00471095"/>
    <w:rsid w:val="004761D3"/>
    <w:rsid w:val="00487BBC"/>
    <w:rsid w:val="004A5D56"/>
    <w:rsid w:val="004D01DB"/>
    <w:rsid w:val="004F0EC5"/>
    <w:rsid w:val="0050346B"/>
    <w:rsid w:val="00534F66"/>
    <w:rsid w:val="005400C6"/>
    <w:rsid w:val="005670C4"/>
    <w:rsid w:val="00571676"/>
    <w:rsid w:val="005A0029"/>
    <w:rsid w:val="005A0197"/>
    <w:rsid w:val="005A1DF4"/>
    <w:rsid w:val="005B5EF2"/>
    <w:rsid w:val="005D6DBC"/>
    <w:rsid w:val="005F50AF"/>
    <w:rsid w:val="0060199D"/>
    <w:rsid w:val="00635936"/>
    <w:rsid w:val="006445CC"/>
    <w:rsid w:val="006541F8"/>
    <w:rsid w:val="00693A24"/>
    <w:rsid w:val="006A1F32"/>
    <w:rsid w:val="006A4DEC"/>
    <w:rsid w:val="006B2C89"/>
    <w:rsid w:val="006C11DF"/>
    <w:rsid w:val="006C46DA"/>
    <w:rsid w:val="006D58B8"/>
    <w:rsid w:val="006E76C6"/>
    <w:rsid w:val="006F32F3"/>
    <w:rsid w:val="006F3A70"/>
    <w:rsid w:val="00700972"/>
    <w:rsid w:val="007050DE"/>
    <w:rsid w:val="007078E4"/>
    <w:rsid w:val="0071183E"/>
    <w:rsid w:val="007370D4"/>
    <w:rsid w:val="00740FEC"/>
    <w:rsid w:val="00752915"/>
    <w:rsid w:val="007530B9"/>
    <w:rsid w:val="007553C6"/>
    <w:rsid w:val="00763C5A"/>
    <w:rsid w:val="00780AAF"/>
    <w:rsid w:val="00792E1B"/>
    <w:rsid w:val="0079601B"/>
    <w:rsid w:val="00797C8A"/>
    <w:rsid w:val="007A34FD"/>
    <w:rsid w:val="007C7556"/>
    <w:rsid w:val="007E15E2"/>
    <w:rsid w:val="007E5BE5"/>
    <w:rsid w:val="007F223A"/>
    <w:rsid w:val="007F2E0E"/>
    <w:rsid w:val="007F6B7E"/>
    <w:rsid w:val="0080212C"/>
    <w:rsid w:val="008133E2"/>
    <w:rsid w:val="008252CF"/>
    <w:rsid w:val="00847EE3"/>
    <w:rsid w:val="00862FF6"/>
    <w:rsid w:val="00867EAF"/>
    <w:rsid w:val="0088757D"/>
    <w:rsid w:val="00892DCC"/>
    <w:rsid w:val="008935AA"/>
    <w:rsid w:val="00893FA1"/>
    <w:rsid w:val="008A48BC"/>
    <w:rsid w:val="008B0B36"/>
    <w:rsid w:val="008C1C72"/>
    <w:rsid w:val="008D5993"/>
    <w:rsid w:val="009106A5"/>
    <w:rsid w:val="00917C74"/>
    <w:rsid w:val="00931D71"/>
    <w:rsid w:val="00961BA8"/>
    <w:rsid w:val="0097184C"/>
    <w:rsid w:val="009C1927"/>
    <w:rsid w:val="009C4071"/>
    <w:rsid w:val="009E0B6E"/>
    <w:rsid w:val="009E1426"/>
    <w:rsid w:val="00A0209B"/>
    <w:rsid w:val="00A11667"/>
    <w:rsid w:val="00A33F63"/>
    <w:rsid w:val="00A376AF"/>
    <w:rsid w:val="00A432CA"/>
    <w:rsid w:val="00A44674"/>
    <w:rsid w:val="00A54B44"/>
    <w:rsid w:val="00A601B4"/>
    <w:rsid w:val="00A62EF2"/>
    <w:rsid w:val="00A74932"/>
    <w:rsid w:val="00A90511"/>
    <w:rsid w:val="00AA4527"/>
    <w:rsid w:val="00AD47A9"/>
    <w:rsid w:val="00AF651C"/>
    <w:rsid w:val="00B059CB"/>
    <w:rsid w:val="00B2172C"/>
    <w:rsid w:val="00B22EE7"/>
    <w:rsid w:val="00B4030C"/>
    <w:rsid w:val="00B43FF1"/>
    <w:rsid w:val="00B701E0"/>
    <w:rsid w:val="00B71B18"/>
    <w:rsid w:val="00B72A14"/>
    <w:rsid w:val="00B74219"/>
    <w:rsid w:val="00B76536"/>
    <w:rsid w:val="00B77922"/>
    <w:rsid w:val="00B91DE4"/>
    <w:rsid w:val="00B9376D"/>
    <w:rsid w:val="00B9464F"/>
    <w:rsid w:val="00B9741B"/>
    <w:rsid w:val="00BA6FFB"/>
    <w:rsid w:val="00BB4516"/>
    <w:rsid w:val="00BC3AC8"/>
    <w:rsid w:val="00BD17D8"/>
    <w:rsid w:val="00BD3B5E"/>
    <w:rsid w:val="00BE10E5"/>
    <w:rsid w:val="00BF49B0"/>
    <w:rsid w:val="00C07258"/>
    <w:rsid w:val="00C11DAC"/>
    <w:rsid w:val="00C12E8D"/>
    <w:rsid w:val="00C17EA4"/>
    <w:rsid w:val="00C21072"/>
    <w:rsid w:val="00C33CA4"/>
    <w:rsid w:val="00C52399"/>
    <w:rsid w:val="00C53466"/>
    <w:rsid w:val="00C63199"/>
    <w:rsid w:val="00C920D8"/>
    <w:rsid w:val="00C922A7"/>
    <w:rsid w:val="00CA65F9"/>
    <w:rsid w:val="00CC07B4"/>
    <w:rsid w:val="00CD5B51"/>
    <w:rsid w:val="00CF3AB5"/>
    <w:rsid w:val="00D11DB6"/>
    <w:rsid w:val="00D16788"/>
    <w:rsid w:val="00D279AE"/>
    <w:rsid w:val="00D37F50"/>
    <w:rsid w:val="00D415CF"/>
    <w:rsid w:val="00D42778"/>
    <w:rsid w:val="00D479E1"/>
    <w:rsid w:val="00D54EB5"/>
    <w:rsid w:val="00D821D2"/>
    <w:rsid w:val="00D8367C"/>
    <w:rsid w:val="00DB737D"/>
    <w:rsid w:val="00DD3D15"/>
    <w:rsid w:val="00DE16CA"/>
    <w:rsid w:val="00DE5834"/>
    <w:rsid w:val="00DF18C7"/>
    <w:rsid w:val="00E010EC"/>
    <w:rsid w:val="00E07DC9"/>
    <w:rsid w:val="00E16CB1"/>
    <w:rsid w:val="00E27F9D"/>
    <w:rsid w:val="00E429A1"/>
    <w:rsid w:val="00E579D9"/>
    <w:rsid w:val="00E7512B"/>
    <w:rsid w:val="00E87760"/>
    <w:rsid w:val="00E94F6A"/>
    <w:rsid w:val="00EA5083"/>
    <w:rsid w:val="00EC32F5"/>
    <w:rsid w:val="00EC588F"/>
    <w:rsid w:val="00EC751A"/>
    <w:rsid w:val="00ED0CA4"/>
    <w:rsid w:val="00ED2773"/>
    <w:rsid w:val="00ED3A7E"/>
    <w:rsid w:val="00ED48E0"/>
    <w:rsid w:val="00EE7469"/>
    <w:rsid w:val="00EF480C"/>
    <w:rsid w:val="00EF7266"/>
    <w:rsid w:val="00F15926"/>
    <w:rsid w:val="00F24AC5"/>
    <w:rsid w:val="00F3764F"/>
    <w:rsid w:val="00F54A5F"/>
    <w:rsid w:val="00F57F55"/>
    <w:rsid w:val="00F63118"/>
    <w:rsid w:val="00F71162"/>
    <w:rsid w:val="00F742EB"/>
    <w:rsid w:val="00F816D8"/>
    <w:rsid w:val="00F855FF"/>
    <w:rsid w:val="00FC5996"/>
    <w:rsid w:val="00FD007F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DD1E"/>
  <w15:docId w15:val="{92B24547-1A81-47CA-8E3E-9F0DC7DB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993"/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54B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0"/>
      <w:szCs w:val="28"/>
      <w:lang w:eastAsia="en-US"/>
    </w:rPr>
  </w:style>
  <w:style w:type="paragraph" w:styleId="Rubrik2">
    <w:name w:val="heading 2"/>
    <w:basedOn w:val="Rubrik1"/>
    <w:next w:val="Normal"/>
    <w:link w:val="Rubrik2Char"/>
    <w:uiPriority w:val="9"/>
    <w:qFormat/>
    <w:rsid w:val="00A54B44"/>
    <w:pPr>
      <w:spacing w:before="200"/>
      <w:outlineLvl w:val="1"/>
    </w:pPr>
    <w:rPr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54B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aps/>
      <w:lang w:eastAsia="en-US"/>
    </w:rPr>
  </w:style>
  <w:style w:type="paragraph" w:styleId="Rubrik4">
    <w:name w:val="heading 4"/>
    <w:basedOn w:val="Normal"/>
    <w:next w:val="Normal"/>
    <w:link w:val="Rubrik4Char"/>
    <w:uiPriority w:val="9"/>
    <w:qFormat/>
    <w:rsid w:val="00A54B44"/>
    <w:pPr>
      <w:outlineLvl w:val="3"/>
    </w:pPr>
    <w:rPr>
      <w:rFonts w:asciiTheme="majorHAnsi" w:eastAsiaTheme="minorHAnsi" w:hAnsiTheme="majorHAnsi" w:cstheme="minorBidi"/>
      <w:b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54B44"/>
    <w:pPr>
      <w:keepNext/>
      <w:keepLines/>
      <w:spacing w:before="200"/>
      <w:outlineLvl w:val="4"/>
    </w:pPr>
    <w:rPr>
      <w:rFonts w:asciiTheme="minorHAnsi" w:eastAsiaTheme="majorEastAsia" w:hAnsiTheme="minorHAnsi" w:cstheme="majorBidi"/>
      <w:b/>
      <w:i/>
      <w:color w:val="004D6D" w:themeColor="accent1" w:themeShade="7F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4B44"/>
    <w:rPr>
      <w:rFonts w:asciiTheme="majorHAnsi" w:eastAsiaTheme="majorEastAsia" w:hAnsiTheme="majorHAnsi" w:cstheme="majorBidi"/>
      <w:b/>
      <w:bCs/>
      <w:color w:val="auto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54B44"/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54B44"/>
    <w:rPr>
      <w:rFonts w:asciiTheme="majorHAnsi" w:eastAsiaTheme="majorEastAsia" w:hAnsiTheme="majorHAnsi" w:cstheme="majorBidi"/>
      <w:b/>
      <w:bCs/>
      <w:caps/>
      <w:color w:val="auto"/>
    </w:rPr>
  </w:style>
  <w:style w:type="character" w:customStyle="1" w:styleId="Rubrik4Char">
    <w:name w:val="Rubrik 4 Char"/>
    <w:basedOn w:val="Standardstycketeckensnitt"/>
    <w:link w:val="Rubrik4"/>
    <w:uiPriority w:val="9"/>
    <w:rsid w:val="00A54B44"/>
    <w:rPr>
      <w:rFonts w:asciiTheme="majorHAnsi" w:hAnsiTheme="majorHAnsi"/>
      <w:b/>
      <w:color w:val="auto"/>
    </w:rPr>
  </w:style>
  <w:style w:type="paragraph" w:styleId="Rubrik">
    <w:name w:val="Title"/>
    <w:basedOn w:val="Normal"/>
    <w:next w:val="Normal"/>
    <w:link w:val="RubrikChar"/>
    <w:uiPriority w:val="10"/>
    <w:semiHidden/>
    <w:rsid w:val="00A54B44"/>
    <w:pPr>
      <w:pBdr>
        <w:bottom w:val="single" w:sz="8" w:space="4" w:color="009CDC" w:themeColor="accent1"/>
      </w:pBdr>
      <w:spacing w:after="300"/>
      <w:contextualSpacing/>
    </w:pPr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54B44"/>
    <w:rPr>
      <w:rFonts w:asciiTheme="majorHAnsi" w:eastAsiaTheme="majorEastAsia" w:hAnsiTheme="majorHAnsi" w:cstheme="majorBidi"/>
      <w:color w:val="00568C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A54B44"/>
  </w:style>
  <w:style w:type="paragraph" w:styleId="Starktcitat">
    <w:name w:val="Intense Quote"/>
    <w:basedOn w:val="Normal"/>
    <w:next w:val="Normal"/>
    <w:link w:val="StarktcitatChar"/>
    <w:uiPriority w:val="30"/>
    <w:semiHidden/>
    <w:rsid w:val="00A54B44"/>
    <w:pPr>
      <w:pBdr>
        <w:bottom w:val="single" w:sz="4" w:space="4" w:color="009CDC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54B44"/>
    <w:rPr>
      <w:b/>
      <w:bCs/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A54B44"/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54B44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A54B44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A54B44"/>
    <w:rPr>
      <w:i/>
      <w:iCs/>
      <w:color w:val="auto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A54B44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54B44"/>
    <w:rPr>
      <w:rFonts w:asciiTheme="majorHAnsi" w:eastAsiaTheme="majorEastAsia" w:hAnsiTheme="majorHAnsi" w:cstheme="majorBidi"/>
      <w:i/>
      <w:iCs/>
      <w:color w:val="auto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4B44"/>
    <w:rPr>
      <w:rFonts w:eastAsiaTheme="majorEastAsia" w:cstheme="majorBidi"/>
      <w:b/>
      <w:i/>
      <w:color w:val="004D6D" w:themeColor="accent1" w:themeShade="7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54B4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4B44"/>
    <w:rPr>
      <w:rFonts w:ascii="Tahoma" w:hAnsi="Tahoma" w:cs="Tahoma"/>
      <w:color w:val="auto"/>
      <w:sz w:val="16"/>
      <w:szCs w:val="16"/>
    </w:rPr>
  </w:style>
  <w:style w:type="table" w:styleId="Tabellrutnt">
    <w:name w:val="Table Grid"/>
    <w:basedOn w:val="Normaltabell"/>
    <w:uiPriority w:val="59"/>
    <w:rsid w:val="00A54B44"/>
    <w:rPr>
      <w:rFonts w:ascii="Gill Sans MT" w:hAnsi="Gill Sans MT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jusskuggning">
    <w:name w:val="Light Shading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bottom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CDC" w:themeColor="accent1"/>
          <w:left w:val="nil"/>
          <w:bottom w:val="single" w:sz="8" w:space="0" w:color="009CD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bottom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CBED" w:themeColor="accent2"/>
          <w:left w:val="nil"/>
          <w:bottom w:val="single" w:sz="8" w:space="0" w:color="9F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bottom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F1A" w:themeColor="accent3"/>
          <w:left w:val="nil"/>
          <w:bottom w:val="single" w:sz="8" w:space="0" w:color="FFDF1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A33F63"/>
    <w:rPr>
      <w:rFonts w:asciiTheme="majorHAnsi" w:hAnsiTheme="majorHAnsi"/>
    </w:rPr>
    <w:tblPr>
      <w:tblStyleRowBandSize w:val="1"/>
      <w:tblStyleColBandSize w:val="1"/>
      <w:tblBorders>
        <w:top w:val="single" w:sz="8" w:space="0" w:color="FFEF6F" w:themeColor="accent4"/>
        <w:bottom w:val="single" w:sz="8" w:space="0" w:color="FFEF6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6F" w:themeColor="accent4"/>
          <w:left w:val="nil"/>
          <w:bottom w:val="single" w:sz="8" w:space="0" w:color="FFEF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bottom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812" w:themeColor="accent5"/>
          <w:left w:val="nil"/>
          <w:bottom w:val="single" w:sz="8" w:space="0" w:color="FDB81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D6" w:themeFill="accent6" w:themeFillTint="33"/>
    </w:tcPr>
    <w:tblStylePr w:type="firstRow">
      <w:rPr>
        <w:b/>
        <w:bCs/>
      </w:rPr>
      <w:tblPr/>
      <w:tcPr>
        <w:shd w:val="clear" w:color="auto" w:fill="C3E3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852E" w:themeFill="accent6" w:themeFillShade="BF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CF" w:themeFill="accent5" w:themeFillTint="33"/>
    </w:tcPr>
    <w:tblStylePr w:type="firstRow">
      <w:rPr>
        <w:b/>
        <w:bCs/>
      </w:rPr>
      <w:tblPr/>
      <w:tcPr>
        <w:shd w:val="clear" w:color="auto" w:fill="FEE2A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8E01" w:themeFill="accent5" w:themeFillShade="BF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71183E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D1" w:themeFill="accent3" w:themeFillTint="33"/>
    </w:tcPr>
    <w:tblStylePr w:type="firstRow">
      <w:rPr>
        <w:b/>
        <w:bCs/>
      </w:rPr>
      <w:tblPr/>
      <w:tcPr>
        <w:shd w:val="clear" w:color="auto" w:fill="FFF2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2B400" w:themeFill="accent3" w:themeFillShade="BF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2" w:themeFillTint="33"/>
    </w:tcPr>
    <w:tblStylePr w:type="firstRow">
      <w:rPr>
        <w:b/>
        <w:bCs/>
      </w:rPr>
      <w:tblPr/>
      <w:tcPr>
        <w:shd w:val="clear" w:color="auto" w:fill="D8EA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B9DDD" w:themeFill="accent2" w:themeFillShade="BF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skuggning2">
    <w:name w:val="Medium Shading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bottom w:val="single" w:sz="8" w:space="0" w:color="009CD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CDC" w:themeColor="accent1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CDC" w:themeColor="accent1"/>
          <w:bottom w:val="single" w:sz="8" w:space="0" w:color="009CDC" w:themeColor="accent1"/>
        </w:tcBorders>
      </w:tc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shd w:val="clear" w:color="auto" w:fill="B7E9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bottom w:val="single" w:sz="8" w:space="0" w:color="9FCBE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CBED" w:themeColor="accent2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CBED" w:themeColor="accent2"/>
          <w:bottom w:val="single" w:sz="8" w:space="0" w:color="9FCBED" w:themeColor="accent2"/>
        </w:tcBorders>
      </w:tc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shd w:val="clear" w:color="auto" w:fill="E7F2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bottom w:val="single" w:sz="8" w:space="0" w:color="FFDF1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F1A" w:themeColor="accent3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F1A" w:themeColor="accent3"/>
          <w:bottom w:val="single" w:sz="8" w:space="0" w:color="FFDF1A" w:themeColor="accent3"/>
        </w:tcBorders>
      </w:tc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shd w:val="clear" w:color="auto" w:fill="FFF7C6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bottom w:val="single" w:sz="8" w:space="0" w:color="FFEF6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6F" w:themeColor="accent4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6F" w:themeColor="accent4"/>
          <w:bottom w:val="single" w:sz="8" w:space="0" w:color="FFEF6F" w:themeColor="accent4"/>
        </w:tcBorders>
      </w:tc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shd w:val="clear" w:color="auto" w:fill="FFFADB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bottom w:val="single" w:sz="8" w:space="0" w:color="FDB81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812" w:themeColor="accent5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812" w:themeColor="accent5"/>
          <w:bottom w:val="single" w:sz="8" w:space="0" w:color="FDB812" w:themeColor="accent5"/>
        </w:tcBorders>
      </w:tc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shd w:val="clear" w:color="auto" w:fill="FEEDC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bottom w:val="single" w:sz="8" w:space="0" w:color="6CB33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B33E" w:themeColor="accent6"/>
        </w:tcBorders>
      </w:tcPr>
    </w:tblStylePr>
    <w:tblStylePr w:type="lastRow">
      <w:rPr>
        <w:b/>
        <w:bCs/>
        <w:color w:val="0074BC" w:themeColor="text2"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B33E" w:themeColor="accent6"/>
          <w:bottom w:val="single" w:sz="8" w:space="0" w:color="6CB33E" w:themeColor="accent6"/>
        </w:tcBorders>
      </w:tc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shd w:val="clear" w:color="auto" w:fill="DAEDCD" w:themeFill="accent6" w:themeFillTint="3F"/>
      </w:tcPr>
    </w:tblStylePr>
  </w:style>
  <w:style w:type="table" w:styleId="Mellanmrklista2">
    <w:name w:val="Medium Lis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C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C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C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C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CBE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F1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F1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F1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81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81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81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3B73B2"/>
    <w:rPr>
      <w:rFonts w:ascii="Gill Sans MT" w:hAnsi="Gill Sans MT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DFF" w:themeFill="accent1" w:themeFillTint="33"/>
    </w:tcPr>
    <w:tblStylePr w:type="firstRow">
      <w:rPr>
        <w:b/>
        <w:bCs/>
      </w:rPr>
      <w:tblPr/>
      <w:tcPr>
        <w:shd w:val="clear" w:color="auto" w:fill="8BD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A4" w:themeFill="accent1" w:themeFillShade="BF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Frgatrutnt">
    <w:name w:val="Colorful Grid"/>
    <w:basedOn w:val="Normaltabell"/>
    <w:uiPriority w:val="73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B33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B33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B33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bottom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B33E" w:themeColor="accent6"/>
          <w:left w:val="nil"/>
          <w:bottom w:val="single" w:sz="8" w:space="0" w:color="6CB33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0F8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802" w:themeFill="accent5" w:themeFillShade="CC"/>
      </w:tcPr>
    </w:tblStylePr>
    <w:tblStylePr w:type="lastRow">
      <w:rPr>
        <w:b/>
        <w:bCs/>
        <w:color w:val="D698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CD" w:themeFill="accent6" w:themeFillTint="3F"/>
      </w:tcPr>
    </w:tblStylePr>
    <w:tblStylePr w:type="band1Horz">
      <w:tblPr/>
      <w:tcPr>
        <w:shd w:val="clear" w:color="auto" w:fill="E1F1D6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EF7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8F31" w:themeFill="accent6" w:themeFillShade="CC"/>
      </w:tcPr>
    </w:tblStylePr>
    <w:tblStylePr w:type="lastRow">
      <w:rPr>
        <w:b/>
        <w:bCs/>
        <w:color w:val="568F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4" w:themeFill="accent5" w:themeFillTint="3F"/>
      </w:tcPr>
    </w:tblStylePr>
    <w:tblStylePr w:type="band1Horz">
      <w:tblPr/>
      <w:tcPr>
        <w:shd w:val="clear" w:color="auto" w:fill="FEF0CF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D821D2"/>
    <w:rPr>
      <w:rFonts w:ascii="Gill Sans MT" w:hAnsi="Gill Sans MT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C000" w:themeFill="accent3" w:themeFillShade="CC"/>
      </w:tcPr>
    </w:tblStylePr>
    <w:tblStylePr w:type="lastRow">
      <w:rPr>
        <w:b/>
        <w:bCs/>
        <w:color w:val="E0C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shd w:val="clear" w:color="auto" w:fill="FFFBE2" w:themeFill="accent4" w:themeFillTint="33"/>
      </w:tcPr>
    </w:tblStylePr>
  </w:style>
  <w:style w:type="table" w:styleId="Mellanmrktrutnt2">
    <w:name w:val="Medium Grid 2"/>
    <w:basedOn w:val="Normaltabell"/>
    <w:uiPriority w:val="68"/>
    <w:rsid w:val="005670C4"/>
    <w:rPr>
      <w:rFonts w:ascii="Gill Sans MT" w:eastAsiaTheme="majorEastAsia" w:hAnsi="Gill Sans MT" w:cstheme="majorBidi"/>
      <w:color w:val="FFFFFF" w:themeColor="background1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D4734"/>
    <w:rPr>
      <w:rFonts w:ascii="Gill Sans MT" w:eastAsiaTheme="majorEastAsia" w:hAnsi="Gill Sans MT" w:cstheme="majorBidi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</w:tblPr>
    <w:tcPr>
      <w:shd w:val="clear" w:color="auto" w:fill="B7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DFF" w:themeFill="accent1" w:themeFillTint="33"/>
      </w:tc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tcBorders>
          <w:insideH w:val="single" w:sz="6" w:space="0" w:color="009CDC" w:themeColor="accent1"/>
          <w:insideV w:val="single" w:sz="6" w:space="0" w:color="009CDC" w:themeColor="accent1"/>
        </w:tcBorders>
        <w:shd w:val="clear" w:color="auto" w:fill="6E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D821D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625" w:themeFill="accent4" w:themeFillShade="CC"/>
      </w:tcPr>
    </w:tblStylePr>
    <w:tblStylePr w:type="lastRow">
      <w:rPr>
        <w:b/>
        <w:bCs/>
        <w:color w:val="FFE62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6" w:themeFill="accent3" w:themeFillTint="3F"/>
      </w:tcPr>
    </w:tblStylePr>
    <w:tblStylePr w:type="band1Horz">
      <w:tblPr/>
      <w:tcPr>
        <w:shd w:val="clear" w:color="auto" w:fill="FFF8D1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3B73B2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5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FA" w:themeFill="accent2" w:themeFillTint="3F"/>
      </w:tcPr>
    </w:tblStylePr>
    <w:tblStylePr w:type="band1Horz">
      <w:tblPr/>
      <w:tcPr>
        <w:shd w:val="clear" w:color="auto" w:fill="EBF4F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3B73B2"/>
    <w:rPr>
      <w:rFonts w:ascii="Gill Sans MT" w:hAnsi="Gill Sans MT"/>
    </w:rPr>
    <w:tblPr>
      <w:tblStyleRowBandSize w:val="1"/>
      <w:tblStyleColBandSize w:val="1"/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9FF" w:themeFill="accent1" w:themeFillTint="3F"/>
      </w:tcPr>
    </w:tblStylePr>
    <w:tblStylePr w:type="band1Horz">
      <w:tblPr/>
      <w:tcPr>
        <w:shd w:val="clear" w:color="auto" w:fill="C5EDFF" w:themeFill="accent1" w:themeFillTint="33"/>
      </w:tcPr>
    </w:tblStylePr>
  </w:style>
  <w:style w:type="table" w:styleId="Frgadlista">
    <w:name w:val="Colorful List"/>
    <w:basedOn w:val="Normaltabell"/>
    <w:uiPriority w:val="72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A6E0" w:themeFill="accent2" w:themeFillShade="CC"/>
      </w:tcPr>
    </w:tblStylePr>
    <w:tblStylePr w:type="lastRow">
      <w:rPr>
        <w:b/>
        <w:bCs/>
        <w:color w:val="5CA6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</w:tblPr>
    <w:tcPr>
      <w:shd w:val="clear" w:color="auto" w:fill="DAED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6" w:themeFill="accent6" w:themeFillTint="33"/>
      </w:tc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tcBorders>
          <w:insideH w:val="single" w:sz="6" w:space="0" w:color="6CB33E" w:themeColor="accent6"/>
          <w:insideV w:val="single" w:sz="6" w:space="0" w:color="6CB33E" w:themeColor="accent6"/>
        </w:tcBorders>
        <w:shd w:val="clear" w:color="auto" w:fill="B4DC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DB812" w:themeColor="accent5"/>
        <w:left w:val="single" w:sz="4" w:space="0" w:color="6CB33E" w:themeColor="accent6"/>
        <w:bottom w:val="single" w:sz="4" w:space="0" w:color="6CB33E" w:themeColor="accent6"/>
        <w:right w:val="single" w:sz="4" w:space="0" w:color="6CB33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81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6B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6B25" w:themeColor="accent6" w:themeShade="99"/>
          <w:insideV w:val="nil"/>
        </w:tcBorders>
        <w:shd w:val="clear" w:color="auto" w:fill="406B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B25" w:themeFill="accent6" w:themeFillShade="99"/>
      </w:tcPr>
    </w:tblStylePr>
    <w:tblStylePr w:type="band1Vert">
      <w:tblPr/>
      <w:tcPr>
        <w:shd w:val="clear" w:color="auto" w:fill="C3E3AF" w:themeFill="accent6" w:themeFillTint="66"/>
      </w:tcPr>
    </w:tblStylePr>
    <w:tblStylePr w:type="band1Horz">
      <w:tblPr/>
      <w:tcPr>
        <w:shd w:val="clear" w:color="auto" w:fill="B4DC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llanmrkskuggning2-dekorfrg1">
    <w:name w:val="Medium Shading 2 Accent 1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9FCBED" w:themeColor="accent2"/>
        <w:bottom w:val="single" w:sz="4" w:space="0" w:color="9FCBED" w:themeColor="accent2"/>
        <w:right w:val="single" w:sz="4" w:space="0" w:color="9FCBE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80C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80C7" w:themeColor="accent2" w:themeShade="99"/>
          <w:insideV w:val="nil"/>
        </w:tcBorders>
        <w:shd w:val="clear" w:color="auto" w:fill="2580C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80C7" w:themeFill="accent2" w:themeFillShade="99"/>
      </w:tcPr>
    </w:tblStylePr>
    <w:tblStylePr w:type="band1Vert">
      <w:tblPr/>
      <w:tcPr>
        <w:shd w:val="clear" w:color="auto" w:fill="D8EAF7" w:themeFill="accent2" w:themeFillTint="66"/>
      </w:tcPr>
    </w:tblStylePr>
    <w:tblStylePr w:type="band1Horz">
      <w:tblPr/>
      <w:tcPr>
        <w:shd w:val="clear" w:color="auto" w:fill="CFE4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FEF6F" w:themeColor="accent4"/>
        <w:left w:val="single" w:sz="4" w:space="0" w:color="FFDF1A" w:themeColor="accent3"/>
        <w:bottom w:val="single" w:sz="4" w:space="0" w:color="FFDF1A" w:themeColor="accent3"/>
        <w:right w:val="single" w:sz="4" w:space="0" w:color="FFDF1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00" w:themeColor="accent3" w:themeShade="99"/>
          <w:insideV w:val="nil"/>
        </w:tcBorders>
        <w:shd w:val="clear" w:color="auto" w:fill="A89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00" w:themeFill="accent3" w:themeFillShade="99"/>
      </w:tcPr>
    </w:tblStylePr>
    <w:tblStylePr w:type="band1Vert">
      <w:tblPr/>
      <w:tcPr>
        <w:shd w:val="clear" w:color="auto" w:fill="FFF2A3" w:themeFill="accent3" w:themeFillTint="66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Frgadskuggning">
    <w:name w:val="Colorful Shading"/>
    <w:basedOn w:val="Normaltabell"/>
    <w:uiPriority w:val="71"/>
    <w:rsid w:val="00EF480C"/>
    <w:rPr>
      <w:rFonts w:ascii="Gill Sans MT" w:hAnsi="Gill Sans MT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FFDF1A" w:themeColor="accent3"/>
        <w:left w:val="single" w:sz="4" w:space="0" w:color="FFEF6F" w:themeColor="accent4"/>
        <w:bottom w:val="single" w:sz="4" w:space="0" w:color="FFEF6F" w:themeColor="accent4"/>
        <w:right w:val="single" w:sz="4" w:space="0" w:color="FFEF6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F1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C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C200" w:themeColor="accent4" w:themeShade="99"/>
          <w:insideV w:val="nil"/>
        </w:tcBorders>
        <w:shd w:val="clear" w:color="auto" w:fill="DBC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C200" w:themeFill="accent4" w:themeFillShade="99"/>
      </w:tcPr>
    </w:tblStylePr>
    <w:tblStylePr w:type="band1Vert">
      <w:tblPr/>
      <w:tcPr>
        <w:shd w:val="clear" w:color="auto" w:fill="FFF8C5" w:themeFill="accent4" w:themeFillTint="66"/>
      </w:tcPr>
    </w:tblStylePr>
    <w:tblStylePr w:type="band1Horz">
      <w:tblPr/>
      <w:tcPr>
        <w:shd w:val="clear" w:color="auto" w:fill="FFF6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6CB33E" w:themeColor="accent6"/>
        <w:left w:val="single" w:sz="4" w:space="0" w:color="FDB812" w:themeColor="accent5"/>
        <w:bottom w:val="single" w:sz="4" w:space="0" w:color="FDB812" w:themeColor="accent5"/>
        <w:right w:val="single" w:sz="4" w:space="0" w:color="FDB81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B33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1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101" w:themeColor="accent5" w:themeShade="99"/>
          <w:insideV w:val="nil"/>
        </w:tcBorders>
        <w:shd w:val="clear" w:color="auto" w:fill="A071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101" w:themeFill="accent5" w:themeFillShade="99"/>
      </w:tcPr>
    </w:tblStylePr>
    <w:tblStylePr w:type="band1Vert">
      <w:tblPr/>
      <w:tcPr>
        <w:shd w:val="clear" w:color="auto" w:fill="FEE2A0" w:themeFill="accent5" w:themeFillTint="66"/>
      </w:tcPr>
    </w:tblStylePr>
    <w:tblStylePr w:type="band1Horz">
      <w:tblPr/>
      <w:tcPr>
        <w:shd w:val="clear" w:color="auto" w:fill="FEDB8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009CD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A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A4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24" w:space="0" w:color="9FCBED" w:themeColor="accent2"/>
        <w:left w:val="single" w:sz="4" w:space="0" w:color="009CDC" w:themeColor="accent1"/>
        <w:bottom w:val="single" w:sz="4" w:space="0" w:color="009CDC" w:themeColor="accent1"/>
        <w:right w:val="single" w:sz="4" w:space="0" w:color="009CD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4" w:themeColor="accent1" w:themeShade="99"/>
          <w:insideV w:val="nil"/>
        </w:tcBorders>
        <w:shd w:val="clear" w:color="auto" w:fill="005D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4" w:themeFill="accent1" w:themeFillShade="99"/>
      </w:tcPr>
    </w:tblStylePr>
    <w:tblStylePr w:type="band1Vert">
      <w:tblPr/>
      <w:tcPr>
        <w:shd w:val="clear" w:color="auto" w:fill="8BDCFF" w:themeFill="accent1" w:themeFillTint="66"/>
      </w:tcPr>
    </w:tblStylePr>
    <w:tblStylePr w:type="band1Horz">
      <w:tblPr/>
      <w:tcPr>
        <w:shd w:val="clear" w:color="auto" w:fill="6E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EF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A1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1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13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</w:tblPr>
    <w:tcPr>
      <w:shd w:val="clear" w:color="auto" w:fill="E7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2" w:themeFillTint="33"/>
      </w:tc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tcBorders>
          <w:insideH w:val="single" w:sz="6" w:space="0" w:color="9FCBED" w:themeColor="accent2"/>
          <w:insideV w:val="single" w:sz="6" w:space="0" w:color="9FCBED" w:themeColor="accent2"/>
        </w:tcBorders>
        <w:shd w:val="clear" w:color="auto" w:fill="CF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392231"/>
    <w:rPr>
      <w:rFonts w:ascii="Gill Sans MT" w:hAnsi="Gill Sans MT"/>
      <w:color w:val="FFFFFF" w:themeColor="background1"/>
      <w:sz w:val="22"/>
    </w:rPr>
    <w:tblPr>
      <w:tblStyleRowBandSize w:val="1"/>
      <w:tblStyleColBandSize w:val="1"/>
    </w:tblPr>
    <w:tcPr>
      <w:shd w:val="clear" w:color="auto" w:fill="9F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6AA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9DD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DDD" w:themeFill="accent2" w:themeFillShade="BF"/>
      </w:tcPr>
    </w:tblStylePr>
  </w:style>
  <w:style w:type="table" w:styleId="Mrklista">
    <w:name w:val="Dark List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A54B4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A54B44"/>
    <w:rPr>
      <w:b/>
      <w:bCs/>
      <w:smallCaps/>
      <w:color w:val="000000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54B44"/>
    <w:pPr>
      <w:spacing w:after="20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Indragetstycke">
    <w:name w:val="Block Text"/>
    <w:basedOn w:val="Normal"/>
    <w:uiPriority w:val="99"/>
    <w:semiHidden/>
    <w:unhideWhenUsed/>
    <w:rsid w:val="00A54B44"/>
    <w:pPr>
      <w:pBdr>
        <w:top w:val="single" w:sz="2" w:space="10" w:color="009CDC" w:themeColor="accent1" w:shadow="1"/>
        <w:left w:val="single" w:sz="2" w:space="10" w:color="009CDC" w:themeColor="accent1" w:shadow="1"/>
        <w:bottom w:val="single" w:sz="2" w:space="10" w:color="009CDC" w:themeColor="accent1" w:shadow="1"/>
        <w:right w:val="single" w:sz="2" w:space="10" w:color="009CDC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lang w:eastAsia="en-US"/>
    </w:rPr>
  </w:style>
  <w:style w:type="table" w:styleId="Mellanmrktrutnt3-dekorfrg6">
    <w:name w:val="Medium Grid 3 Accent 6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D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B33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B33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B33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C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C9B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DB81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E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E0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E01" w:themeFill="accent5" w:themeFillShade="BF"/>
      </w:tcPr>
    </w:tblStylePr>
  </w:style>
  <w:style w:type="table" w:styleId="Mellanmrkskuggning1">
    <w:name w:val="Medium Shading 1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54B44"/>
    <w:rPr>
      <w:rFonts w:asciiTheme="majorHAnsi" w:hAnsiTheme="majorHAnsi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54B44"/>
    <w:rPr>
      <w:rFonts w:ascii="Gill Sans MT" w:hAnsi="Gill Sans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A54B44"/>
    <w:rPr>
      <w:rFonts w:ascii="Gill Sans MT" w:hAnsi="Gill Sans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54B44"/>
    <w:rPr>
      <w:rFonts w:ascii="Gill Sans MT" w:hAnsi="Gill Sans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54B44"/>
    <w:rPr>
      <w:rFonts w:ascii="Gill Sans MT" w:hAnsi="Gill Sans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juslista">
    <w:name w:val="Light List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EF480C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F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6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lista-dekorfrg1">
    <w:name w:val="Light List Accent 1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</w:style>
  <w:style w:type="table" w:styleId="Ljustrutnt">
    <w:name w:val="Light Grid"/>
    <w:basedOn w:val="Normaltabell"/>
    <w:uiPriority w:val="62"/>
    <w:rsid w:val="00A54B4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009CDC" w:themeColor="accent1"/>
        <w:left w:val="single" w:sz="8" w:space="0" w:color="009CDC" w:themeColor="accent1"/>
        <w:bottom w:val="single" w:sz="8" w:space="0" w:color="009CDC" w:themeColor="accent1"/>
        <w:right w:val="single" w:sz="8" w:space="0" w:color="009CDC" w:themeColor="accent1"/>
        <w:insideH w:val="single" w:sz="8" w:space="0" w:color="009CDC" w:themeColor="accent1"/>
        <w:insideV w:val="single" w:sz="8" w:space="0" w:color="009CD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1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H w:val="nil"/>
          <w:insideV w:val="single" w:sz="8" w:space="0" w:color="009C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</w:tcPr>
    </w:tblStylePr>
    <w:tblStylePr w:type="band1Vert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</w:tcBorders>
        <w:shd w:val="clear" w:color="auto" w:fill="B7E9FF" w:themeFill="accent1" w:themeFillTint="3F"/>
      </w:tcPr>
    </w:tblStylePr>
    <w:tblStylePr w:type="band1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  <w:shd w:val="clear" w:color="auto" w:fill="B7E9FF" w:themeFill="accent1" w:themeFillTint="3F"/>
      </w:tcPr>
    </w:tblStylePr>
    <w:tblStylePr w:type="band2Horz">
      <w:tblPr/>
      <w:tcPr>
        <w:tcBorders>
          <w:top w:val="single" w:sz="8" w:space="0" w:color="009CDC" w:themeColor="accent1"/>
          <w:left w:val="single" w:sz="8" w:space="0" w:color="009CDC" w:themeColor="accent1"/>
          <w:bottom w:val="single" w:sz="8" w:space="0" w:color="009CDC" w:themeColor="accent1"/>
          <w:right w:val="single" w:sz="8" w:space="0" w:color="009CDC" w:themeColor="accent1"/>
          <w:insideV w:val="single" w:sz="8" w:space="0" w:color="009CDC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9FCBED" w:themeColor="accent2"/>
        <w:left w:val="single" w:sz="8" w:space="0" w:color="9FCBED" w:themeColor="accent2"/>
        <w:bottom w:val="single" w:sz="8" w:space="0" w:color="9FCBED" w:themeColor="accent2"/>
        <w:right w:val="single" w:sz="8" w:space="0" w:color="9FCBED" w:themeColor="accent2"/>
        <w:insideH w:val="single" w:sz="8" w:space="0" w:color="9FCBED" w:themeColor="accent2"/>
        <w:insideV w:val="single" w:sz="8" w:space="0" w:color="9FCBE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1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H w:val="nil"/>
          <w:insideV w:val="single" w:sz="8" w:space="0" w:color="9F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</w:tcPr>
    </w:tblStylePr>
    <w:tblStylePr w:type="band1Vert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</w:tcBorders>
        <w:shd w:val="clear" w:color="auto" w:fill="E7F2FA" w:themeFill="accent2" w:themeFillTint="3F"/>
      </w:tcPr>
    </w:tblStylePr>
    <w:tblStylePr w:type="band1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  <w:shd w:val="clear" w:color="auto" w:fill="E7F2FA" w:themeFill="accent2" w:themeFillTint="3F"/>
      </w:tcPr>
    </w:tblStylePr>
    <w:tblStylePr w:type="band2Horz">
      <w:tblPr/>
      <w:tcPr>
        <w:tcBorders>
          <w:top w:val="single" w:sz="8" w:space="0" w:color="9FCBED" w:themeColor="accent2"/>
          <w:left w:val="single" w:sz="8" w:space="0" w:color="9FCBED" w:themeColor="accent2"/>
          <w:bottom w:val="single" w:sz="8" w:space="0" w:color="9FCBED" w:themeColor="accent2"/>
          <w:right w:val="single" w:sz="8" w:space="0" w:color="9FCBED" w:themeColor="accent2"/>
          <w:insideV w:val="single" w:sz="8" w:space="0" w:color="9FCBE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1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H w:val="nil"/>
          <w:insideV w:val="single" w:sz="8" w:space="0" w:color="FFDF1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</w:tcPr>
    </w:tblStylePr>
    <w:tblStylePr w:type="band1Vert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</w:tcBorders>
        <w:shd w:val="clear" w:color="auto" w:fill="FFF7C6" w:themeFill="accent3" w:themeFillTint="3F"/>
      </w:tcPr>
    </w:tblStylePr>
    <w:tblStylePr w:type="band1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  <w:shd w:val="clear" w:color="auto" w:fill="FFF7C6" w:themeFill="accent3" w:themeFillTint="3F"/>
      </w:tcPr>
    </w:tblStylePr>
    <w:tblStylePr w:type="band2Horz">
      <w:tblPr/>
      <w:tcPr>
        <w:tcBorders>
          <w:top w:val="single" w:sz="8" w:space="0" w:color="FFDF1A" w:themeColor="accent3"/>
          <w:left w:val="single" w:sz="8" w:space="0" w:color="FFDF1A" w:themeColor="accent3"/>
          <w:bottom w:val="single" w:sz="8" w:space="0" w:color="FFDF1A" w:themeColor="accent3"/>
          <w:right w:val="single" w:sz="8" w:space="0" w:color="FFDF1A" w:themeColor="accent3"/>
          <w:insideV w:val="single" w:sz="8" w:space="0" w:color="FFDF1A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1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H w:val="nil"/>
          <w:insideV w:val="single" w:sz="8" w:space="0" w:color="FFEF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</w:tcPr>
    </w:tblStylePr>
    <w:tblStylePr w:type="band1Vert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</w:tcBorders>
        <w:shd w:val="clear" w:color="auto" w:fill="FFFADB" w:themeFill="accent4" w:themeFillTint="3F"/>
      </w:tcPr>
    </w:tblStylePr>
    <w:tblStylePr w:type="band1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  <w:shd w:val="clear" w:color="auto" w:fill="FFFADB" w:themeFill="accent4" w:themeFillTint="3F"/>
      </w:tcPr>
    </w:tblStylePr>
    <w:tblStylePr w:type="band2Horz">
      <w:tblPr/>
      <w:tcPr>
        <w:tcBorders>
          <w:top w:val="single" w:sz="8" w:space="0" w:color="FFEF6F" w:themeColor="accent4"/>
          <w:left w:val="single" w:sz="8" w:space="0" w:color="FFEF6F" w:themeColor="accent4"/>
          <w:bottom w:val="single" w:sz="8" w:space="0" w:color="FFEF6F" w:themeColor="accent4"/>
          <w:right w:val="single" w:sz="8" w:space="0" w:color="FFEF6F" w:themeColor="accent4"/>
          <w:insideV w:val="single" w:sz="8" w:space="0" w:color="FFEF6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2806A1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1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H w:val="nil"/>
          <w:insideV w:val="single" w:sz="8" w:space="0" w:color="FDB81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</w:tcPr>
    </w:tblStylePr>
    <w:tblStylePr w:type="band1Vert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</w:tcBorders>
        <w:shd w:val="clear" w:color="auto" w:fill="FEEDC4" w:themeFill="accent5" w:themeFillTint="3F"/>
      </w:tcPr>
    </w:tblStylePr>
    <w:tblStylePr w:type="band1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  <w:shd w:val="clear" w:color="auto" w:fill="FEEDC4" w:themeFill="accent5" w:themeFillTint="3F"/>
      </w:tcPr>
    </w:tblStylePr>
    <w:tblStylePr w:type="band2Horz">
      <w:tblPr/>
      <w:tcPr>
        <w:tcBorders>
          <w:top w:val="single" w:sz="8" w:space="0" w:color="FDB812" w:themeColor="accent5"/>
          <w:left w:val="single" w:sz="8" w:space="0" w:color="FDB812" w:themeColor="accent5"/>
          <w:bottom w:val="single" w:sz="8" w:space="0" w:color="FDB812" w:themeColor="accent5"/>
          <w:right w:val="single" w:sz="8" w:space="0" w:color="FDB812" w:themeColor="accent5"/>
          <w:insideV w:val="single" w:sz="8" w:space="0" w:color="FDB812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2806A1"/>
    <w:rPr>
      <w:rFonts w:ascii="Gill Sans MT" w:hAnsi="Gill Sans MT"/>
    </w:rPr>
    <w:tblPr>
      <w:tblStyleRowBandSize w:val="1"/>
      <w:tblStyleColBandSize w:val="1"/>
      <w:tblBorders>
        <w:top w:val="single" w:sz="8" w:space="0" w:color="6CB33E" w:themeColor="accent6"/>
        <w:left w:val="single" w:sz="8" w:space="0" w:color="6CB33E" w:themeColor="accent6"/>
        <w:bottom w:val="single" w:sz="8" w:space="0" w:color="6CB33E" w:themeColor="accent6"/>
        <w:right w:val="single" w:sz="8" w:space="0" w:color="6CB33E" w:themeColor="accent6"/>
        <w:insideH w:val="single" w:sz="8" w:space="0" w:color="6CB33E" w:themeColor="accent6"/>
        <w:insideV w:val="single" w:sz="8" w:space="0" w:color="6CB33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1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H w:val="nil"/>
          <w:insideV w:val="single" w:sz="8" w:space="0" w:color="6CB33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</w:tcPr>
    </w:tblStylePr>
    <w:tblStylePr w:type="band1Vert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</w:tcBorders>
        <w:shd w:val="clear" w:color="auto" w:fill="DAEDCD" w:themeFill="accent6" w:themeFillTint="3F"/>
      </w:tcPr>
    </w:tblStylePr>
    <w:tblStylePr w:type="band1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  <w:shd w:val="clear" w:color="auto" w:fill="DAEDCD" w:themeFill="accent6" w:themeFillTint="3F"/>
      </w:tcPr>
    </w:tblStylePr>
    <w:tblStylePr w:type="band2Horz">
      <w:tblPr/>
      <w:tcPr>
        <w:tcBorders>
          <w:top w:val="single" w:sz="8" w:space="0" w:color="6CB33E" w:themeColor="accent6"/>
          <w:left w:val="single" w:sz="8" w:space="0" w:color="6CB33E" w:themeColor="accent6"/>
          <w:bottom w:val="single" w:sz="8" w:space="0" w:color="6CB33E" w:themeColor="accent6"/>
          <w:right w:val="single" w:sz="8" w:space="0" w:color="6CB33E" w:themeColor="accent6"/>
          <w:insideV w:val="single" w:sz="8" w:space="0" w:color="6CB33E" w:themeColor="accent6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297CBD"/>
    <w:rPr>
      <w:rFonts w:asciiTheme="majorHAnsi" w:hAnsiTheme="majorHAnsi"/>
    </w:rPr>
    <w:tblPr>
      <w:tblStyleRowBandSize w:val="1"/>
      <w:tblStyleColBandSize w:val="1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  <w:shd w:val="clear" w:color="auto" w:fill="009CD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BFFF" w:themeColor="accent1" w:themeTint="BF"/>
          <w:left w:val="single" w:sz="8" w:space="0" w:color="25BFFF" w:themeColor="accent1" w:themeTint="BF"/>
          <w:bottom w:val="single" w:sz="8" w:space="0" w:color="25BFFF" w:themeColor="accent1" w:themeTint="BF"/>
          <w:right w:val="single" w:sz="8" w:space="0" w:color="25B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  <w:shd w:val="clear" w:color="auto" w:fill="9F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7F1" w:themeColor="accent2" w:themeTint="BF"/>
          <w:left w:val="single" w:sz="8" w:space="0" w:color="B6D7F1" w:themeColor="accent2" w:themeTint="BF"/>
          <w:bottom w:val="single" w:sz="8" w:space="0" w:color="B6D7F1" w:themeColor="accent2" w:themeTint="BF"/>
          <w:right w:val="single" w:sz="8" w:space="0" w:color="B6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  <w:shd w:val="clear" w:color="auto" w:fill="FFDF1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53" w:themeColor="accent3" w:themeTint="BF"/>
          <w:left w:val="single" w:sz="8" w:space="0" w:color="FFE653" w:themeColor="accent3" w:themeTint="BF"/>
          <w:bottom w:val="single" w:sz="8" w:space="0" w:color="FFE653" w:themeColor="accent3" w:themeTint="BF"/>
          <w:right w:val="single" w:sz="8" w:space="0" w:color="FFE65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  <w:shd w:val="clear" w:color="auto" w:fill="FFEF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93" w:themeColor="accent4" w:themeTint="BF"/>
          <w:left w:val="single" w:sz="8" w:space="0" w:color="FFF293" w:themeColor="accent4" w:themeTint="BF"/>
          <w:bottom w:val="single" w:sz="8" w:space="0" w:color="FFF293" w:themeColor="accent4" w:themeTint="BF"/>
          <w:right w:val="single" w:sz="8" w:space="0" w:color="FFF29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297CBD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  <w:shd w:val="clear" w:color="auto" w:fill="FDB81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94D" w:themeColor="accent5" w:themeTint="BF"/>
          <w:left w:val="single" w:sz="8" w:space="0" w:color="FDC94D" w:themeColor="accent5" w:themeTint="BF"/>
          <w:bottom w:val="single" w:sz="8" w:space="0" w:color="FDC94D" w:themeColor="accent5" w:themeTint="BF"/>
          <w:right w:val="single" w:sz="8" w:space="0" w:color="FDC94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297CBD"/>
    <w:rPr>
      <w:rFonts w:ascii="Gill Sans MT" w:hAnsi="Gill Sans MT"/>
    </w:rPr>
    <w:tblPr>
      <w:tblStyleRowBandSize w:val="1"/>
      <w:tblStyleColBandSize w:val="1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  <w:shd w:val="clear" w:color="auto" w:fill="6CB33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B69" w:themeColor="accent6" w:themeTint="BF"/>
          <w:left w:val="single" w:sz="8" w:space="0" w:color="8FCB69" w:themeColor="accent6" w:themeTint="BF"/>
          <w:bottom w:val="single" w:sz="8" w:space="0" w:color="8FCB69" w:themeColor="accent6" w:themeTint="BF"/>
          <w:right w:val="single" w:sz="8" w:space="0" w:color="8FCB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297CBD"/>
    <w:rPr>
      <w:rFonts w:ascii="Gill Sans MT" w:hAnsi="Gill Sans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ellanmrktrutnt1">
    <w:name w:val="Medium Grid 1"/>
    <w:basedOn w:val="Normaltabell"/>
    <w:uiPriority w:val="67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25BFFF" w:themeColor="accent1" w:themeTint="BF"/>
        <w:left w:val="single" w:sz="8" w:space="0" w:color="25BFFF" w:themeColor="accent1" w:themeTint="BF"/>
        <w:bottom w:val="single" w:sz="8" w:space="0" w:color="25BFFF" w:themeColor="accent1" w:themeTint="BF"/>
        <w:right w:val="single" w:sz="8" w:space="0" w:color="25BFFF" w:themeColor="accent1" w:themeTint="BF"/>
        <w:insideH w:val="single" w:sz="8" w:space="0" w:color="25BFFF" w:themeColor="accent1" w:themeTint="BF"/>
        <w:insideV w:val="single" w:sz="8" w:space="0" w:color="25BFFF" w:themeColor="accent1" w:themeTint="BF"/>
      </w:tblBorders>
    </w:tblPr>
    <w:tcPr>
      <w:shd w:val="clear" w:color="auto" w:fill="B7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B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ED4FF" w:themeFill="accent1" w:themeFillTint="7F"/>
      </w:tcPr>
    </w:tblStylePr>
    <w:tblStylePr w:type="band1Horz">
      <w:tblPr/>
      <w:tcPr>
        <w:shd w:val="clear" w:color="auto" w:fill="6ED4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B6D7F1" w:themeColor="accent2" w:themeTint="BF"/>
        <w:left w:val="single" w:sz="8" w:space="0" w:color="B6D7F1" w:themeColor="accent2" w:themeTint="BF"/>
        <w:bottom w:val="single" w:sz="8" w:space="0" w:color="B6D7F1" w:themeColor="accent2" w:themeTint="BF"/>
        <w:right w:val="single" w:sz="8" w:space="0" w:color="B6D7F1" w:themeColor="accent2" w:themeTint="BF"/>
        <w:insideH w:val="single" w:sz="8" w:space="0" w:color="B6D7F1" w:themeColor="accent2" w:themeTint="BF"/>
        <w:insideV w:val="single" w:sz="8" w:space="0" w:color="B6D7F1" w:themeColor="accent2" w:themeTint="BF"/>
      </w:tblBorders>
    </w:tblPr>
    <w:tcPr>
      <w:shd w:val="clear" w:color="auto" w:fill="E7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6" w:themeFill="accent2" w:themeFillTint="7F"/>
      </w:tcPr>
    </w:tblStylePr>
    <w:tblStylePr w:type="band1Horz">
      <w:tblPr/>
      <w:tcPr>
        <w:shd w:val="clear" w:color="auto" w:fill="CFE4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E653" w:themeColor="accent3" w:themeTint="BF"/>
        <w:left w:val="single" w:sz="8" w:space="0" w:color="FFE653" w:themeColor="accent3" w:themeTint="BF"/>
        <w:bottom w:val="single" w:sz="8" w:space="0" w:color="FFE653" w:themeColor="accent3" w:themeTint="BF"/>
        <w:right w:val="single" w:sz="8" w:space="0" w:color="FFE653" w:themeColor="accent3" w:themeTint="BF"/>
        <w:insideH w:val="single" w:sz="8" w:space="0" w:color="FFE653" w:themeColor="accent3" w:themeTint="BF"/>
        <w:insideV w:val="single" w:sz="8" w:space="0" w:color="FFE653" w:themeColor="accent3" w:themeTint="BF"/>
      </w:tblBorders>
    </w:tblPr>
    <w:tcPr>
      <w:shd w:val="clear" w:color="auto" w:fill="FFF7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65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shd w:val="clear" w:color="auto" w:fill="FFEE8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293" w:themeColor="accent4" w:themeTint="BF"/>
        <w:left w:val="single" w:sz="8" w:space="0" w:color="FFF293" w:themeColor="accent4" w:themeTint="BF"/>
        <w:bottom w:val="single" w:sz="8" w:space="0" w:color="FFF293" w:themeColor="accent4" w:themeTint="BF"/>
        <w:right w:val="single" w:sz="8" w:space="0" w:color="FFF293" w:themeColor="accent4" w:themeTint="BF"/>
        <w:insideH w:val="single" w:sz="8" w:space="0" w:color="FFF293" w:themeColor="accent4" w:themeTint="BF"/>
        <w:insideV w:val="single" w:sz="8" w:space="0" w:color="FFF293" w:themeColor="accent4" w:themeTint="BF"/>
      </w:tblBorders>
    </w:tblPr>
    <w:tcPr>
      <w:shd w:val="clear" w:color="auto" w:fill="FFFA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9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shd w:val="clear" w:color="auto" w:fill="FFF6B7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DC94D" w:themeColor="accent5" w:themeTint="BF"/>
        <w:left w:val="single" w:sz="8" w:space="0" w:color="FDC94D" w:themeColor="accent5" w:themeTint="BF"/>
        <w:bottom w:val="single" w:sz="8" w:space="0" w:color="FDC94D" w:themeColor="accent5" w:themeTint="BF"/>
        <w:right w:val="single" w:sz="8" w:space="0" w:color="FDC94D" w:themeColor="accent5" w:themeTint="BF"/>
        <w:insideH w:val="single" w:sz="8" w:space="0" w:color="FDC94D" w:themeColor="accent5" w:themeTint="BF"/>
        <w:insideV w:val="single" w:sz="8" w:space="0" w:color="FDC94D" w:themeColor="accent5" w:themeTint="BF"/>
      </w:tblBorders>
    </w:tblPr>
    <w:tcPr>
      <w:shd w:val="clear" w:color="auto" w:fill="FEEDC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94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shd w:val="clear" w:color="auto" w:fill="FEDB8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D4734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8FCB69" w:themeColor="accent6" w:themeTint="BF"/>
        <w:left w:val="single" w:sz="8" w:space="0" w:color="8FCB69" w:themeColor="accent6" w:themeTint="BF"/>
        <w:bottom w:val="single" w:sz="8" w:space="0" w:color="8FCB69" w:themeColor="accent6" w:themeTint="BF"/>
        <w:right w:val="single" w:sz="8" w:space="0" w:color="8FCB69" w:themeColor="accent6" w:themeTint="BF"/>
        <w:insideH w:val="single" w:sz="8" w:space="0" w:color="8FCB69" w:themeColor="accent6" w:themeTint="BF"/>
        <w:insideV w:val="single" w:sz="8" w:space="0" w:color="8FCB69" w:themeColor="accent6" w:themeTint="BF"/>
      </w:tblBorders>
    </w:tblPr>
    <w:tcPr>
      <w:shd w:val="clear" w:color="auto" w:fill="DAED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B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C9B" w:themeFill="accent6" w:themeFillTint="7F"/>
      </w:tcPr>
    </w:tblStylePr>
    <w:tblStylePr w:type="band1Horz">
      <w:tblPr/>
      <w:tcPr>
        <w:shd w:val="clear" w:color="auto" w:fill="B4DC9B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DF1A" w:themeColor="accent3"/>
        <w:left w:val="single" w:sz="8" w:space="0" w:color="FFDF1A" w:themeColor="accent3"/>
        <w:bottom w:val="single" w:sz="8" w:space="0" w:color="FFDF1A" w:themeColor="accent3"/>
        <w:right w:val="single" w:sz="8" w:space="0" w:color="FFDF1A" w:themeColor="accent3"/>
        <w:insideH w:val="single" w:sz="8" w:space="0" w:color="FFDF1A" w:themeColor="accent3"/>
        <w:insideV w:val="single" w:sz="8" w:space="0" w:color="FFDF1A" w:themeColor="accent3"/>
      </w:tblBorders>
    </w:tblPr>
    <w:tcPr>
      <w:shd w:val="clear" w:color="auto" w:fill="FFF7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D1" w:themeFill="accent3" w:themeFillTint="33"/>
      </w:tcPr>
    </w:tblStylePr>
    <w:tblStylePr w:type="band1Vert">
      <w:tblPr/>
      <w:tcPr>
        <w:shd w:val="clear" w:color="auto" w:fill="FFEE8C" w:themeFill="accent3" w:themeFillTint="7F"/>
      </w:tcPr>
    </w:tblStylePr>
    <w:tblStylePr w:type="band1Horz">
      <w:tblPr/>
      <w:tcPr>
        <w:tcBorders>
          <w:insideH w:val="single" w:sz="6" w:space="0" w:color="FFDF1A" w:themeColor="accent3"/>
          <w:insideV w:val="single" w:sz="6" w:space="0" w:color="FFDF1A" w:themeColor="accent3"/>
        </w:tcBorders>
        <w:shd w:val="clear" w:color="auto" w:fill="FFEE8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FEF6F" w:themeColor="accent4"/>
        <w:left w:val="single" w:sz="8" w:space="0" w:color="FFEF6F" w:themeColor="accent4"/>
        <w:bottom w:val="single" w:sz="8" w:space="0" w:color="FFEF6F" w:themeColor="accent4"/>
        <w:right w:val="single" w:sz="8" w:space="0" w:color="FFEF6F" w:themeColor="accent4"/>
        <w:insideH w:val="single" w:sz="8" w:space="0" w:color="FFEF6F" w:themeColor="accent4"/>
        <w:insideV w:val="single" w:sz="8" w:space="0" w:color="FFEF6F" w:themeColor="accent4"/>
      </w:tblBorders>
    </w:tblPr>
    <w:tcPr>
      <w:shd w:val="clear" w:color="auto" w:fill="FFFA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E2" w:themeFill="accent4" w:themeFillTint="33"/>
      </w:tcPr>
    </w:tblStylePr>
    <w:tblStylePr w:type="band1Vert">
      <w:tblPr/>
      <w:tcPr>
        <w:shd w:val="clear" w:color="auto" w:fill="FFF6B7" w:themeFill="accent4" w:themeFillTint="7F"/>
      </w:tcPr>
    </w:tblStylePr>
    <w:tblStylePr w:type="band1Horz">
      <w:tblPr/>
      <w:tcPr>
        <w:tcBorders>
          <w:insideH w:val="single" w:sz="6" w:space="0" w:color="FFEF6F" w:themeColor="accent4"/>
          <w:insideV w:val="single" w:sz="6" w:space="0" w:color="FFEF6F" w:themeColor="accent4"/>
        </w:tcBorders>
        <w:shd w:val="clear" w:color="auto" w:fill="FFF6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D4734"/>
    <w:rPr>
      <w:rFonts w:ascii="Gill Sans MT" w:eastAsiaTheme="majorEastAsia" w:hAnsi="Gill Sans MT" w:cstheme="majorBidi"/>
      <w:sz w:val="22"/>
    </w:rPr>
    <w:tblPr>
      <w:tblStyleRowBandSize w:val="1"/>
      <w:tblStyleColBandSize w:val="1"/>
      <w:tblBorders>
        <w:top w:val="single" w:sz="8" w:space="0" w:color="FDB812" w:themeColor="accent5"/>
        <w:left w:val="single" w:sz="8" w:space="0" w:color="FDB812" w:themeColor="accent5"/>
        <w:bottom w:val="single" w:sz="8" w:space="0" w:color="FDB812" w:themeColor="accent5"/>
        <w:right w:val="single" w:sz="8" w:space="0" w:color="FDB812" w:themeColor="accent5"/>
        <w:insideH w:val="single" w:sz="8" w:space="0" w:color="FDB812" w:themeColor="accent5"/>
        <w:insideV w:val="single" w:sz="8" w:space="0" w:color="FDB812" w:themeColor="accent5"/>
      </w:tblBorders>
    </w:tblPr>
    <w:tcPr>
      <w:shd w:val="clear" w:color="auto" w:fill="FEEDC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F" w:themeFill="accent5" w:themeFillTint="33"/>
      </w:tcPr>
    </w:tblStylePr>
    <w:tblStylePr w:type="band1Vert">
      <w:tblPr/>
      <w:tcPr>
        <w:shd w:val="clear" w:color="auto" w:fill="FEDB88" w:themeFill="accent5" w:themeFillTint="7F"/>
      </w:tcPr>
    </w:tblStylePr>
    <w:tblStylePr w:type="band1Horz">
      <w:tblPr/>
      <w:tcPr>
        <w:tcBorders>
          <w:insideH w:val="single" w:sz="6" w:space="0" w:color="FDB812" w:themeColor="accent5"/>
          <w:insideV w:val="single" w:sz="6" w:space="0" w:color="FDB812" w:themeColor="accent5"/>
        </w:tcBorders>
        <w:shd w:val="clear" w:color="auto" w:fill="FEDB8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670C4"/>
    <w:rPr>
      <w:rFonts w:ascii="Gill Sans MT" w:hAnsi="Gill Sans MT"/>
      <w:color w:val="FFFFFF" w:themeColor="background1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EF480C"/>
    <w:rPr>
      <w:rFonts w:ascii="Gill Sans MT" w:hAnsi="Gill Sans MT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CD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CD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CD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E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ED4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4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7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F1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F1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F1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E8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E8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B7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EF480C"/>
    <w:rPr>
      <w:rFonts w:ascii="Gill Sans MT" w:hAnsi="Gill Sans MT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81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81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81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B8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B88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FFDF1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7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B4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400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EF480C"/>
    <w:rPr>
      <w:rFonts w:ascii="Gill Sans MT" w:hAnsi="Gill Sans MT"/>
      <w:sz w:val="22"/>
    </w:rPr>
    <w:tblPr>
      <w:tblStyleRowBandSize w:val="1"/>
      <w:tblStyleColBandSize w:val="1"/>
    </w:tblPr>
    <w:tcPr>
      <w:shd w:val="clear" w:color="auto" w:fill="6CB33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9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85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852E" w:themeFill="accent6" w:themeFillShade="BF"/>
      </w:tcPr>
    </w:tblStylePr>
  </w:style>
  <w:style w:type="character" w:styleId="Hyperlnk">
    <w:name w:val="Hyperlink"/>
    <w:basedOn w:val="Standardstycketeckensnitt"/>
    <w:uiPriority w:val="99"/>
    <w:unhideWhenUsed/>
    <w:rsid w:val="00040E04"/>
    <w:rPr>
      <w:color w:val="00528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.se/Produkter/171323-Tre-berattelser-Berattelser-om-dystopi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v.wikipedia.org/wiki/Postapokalyptisk_science_fiction" TargetMode="External"/><Relationship Id="rId5" Type="http://schemas.openxmlformats.org/officeDocument/2006/relationships/hyperlink" Target="http://sv.wikipedia.org/wiki/Dystop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tockholms stads tema">
  <a:themeElements>
    <a:clrScheme name="STHLM_PROFIL">
      <a:dk1>
        <a:srgbClr val="000000"/>
      </a:dk1>
      <a:lt1>
        <a:srgbClr val="FFFFFF"/>
      </a:lt1>
      <a:dk2>
        <a:srgbClr val="0074BC"/>
      </a:dk2>
      <a:lt2>
        <a:srgbClr val="D1D3D4"/>
      </a:lt2>
      <a:accent1>
        <a:srgbClr val="009CDC"/>
      </a:accent1>
      <a:accent2>
        <a:srgbClr val="9FCBED"/>
      </a:accent2>
      <a:accent3>
        <a:srgbClr val="FFDF1A"/>
      </a:accent3>
      <a:accent4>
        <a:srgbClr val="FFEF6F"/>
      </a:accent4>
      <a:accent5>
        <a:srgbClr val="FDB812"/>
      </a:accent5>
      <a:accent6>
        <a:srgbClr val="6CB33E"/>
      </a:accent6>
      <a:hlink>
        <a:srgbClr val="005288"/>
      </a:hlink>
      <a:folHlink>
        <a:srgbClr val="005288"/>
      </a:folHlink>
    </a:clrScheme>
    <a:fontScheme name="Stockholms stads typsnitt">
      <a:majorFont>
        <a:latin typeface="Gill Sans MT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0550E-54C5-4C47-91DF-610F7B1D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1121</Words>
  <Characters>5945</Characters>
  <Application>Microsoft Office Word</Application>
  <DocSecurity>0</DocSecurity>
  <Lines>49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Volvo IT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AA21320</dc:creator>
  <cp:lastModifiedBy>Elin Pellberg</cp:lastModifiedBy>
  <cp:revision>7</cp:revision>
  <dcterms:created xsi:type="dcterms:W3CDTF">2014-10-01T06:23:00Z</dcterms:created>
  <dcterms:modified xsi:type="dcterms:W3CDTF">2017-05-31T20:06:00Z</dcterms:modified>
</cp:coreProperties>
</file>