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92E4" w14:textId="351455CF" w:rsidR="00DC1E42" w:rsidRDefault="00DC1E42" w:rsidP="00DC1E42">
      <w:pPr>
        <w:rPr>
          <w:color w:val="C40064" w:themeColor="accent1"/>
        </w:rPr>
      </w:pPr>
      <w:r w:rsidRPr="00DC1E42">
        <w:rPr>
          <w:color w:val="C40064" w:themeColor="accent1"/>
        </w:rPr>
        <w:drawing>
          <wp:anchor distT="0" distB="0" distL="114300" distR="114300" simplePos="0" relativeHeight="251660288" behindDoc="0" locked="0" layoutInCell="1" allowOverlap="1" wp14:anchorId="4D9C194D" wp14:editId="2E7B658E">
            <wp:simplePos x="0" y="0"/>
            <wp:positionH relativeFrom="column">
              <wp:posOffset>2770505</wp:posOffset>
            </wp:positionH>
            <wp:positionV relativeFrom="paragraph">
              <wp:posOffset>-525145</wp:posOffset>
            </wp:positionV>
            <wp:extent cx="1048385" cy="356765"/>
            <wp:effectExtent l="0" t="0" r="0" b="5715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BA9B3107-041C-4D52-BB93-E60073654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BA9B3107-041C-4D52-BB93-E60073654E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E42">
        <w:rPr>
          <w:color w:val="C40064" w:themeColor="accent1"/>
        </w:rPr>
        <w:drawing>
          <wp:anchor distT="0" distB="0" distL="114300" distR="114300" simplePos="0" relativeHeight="251661312" behindDoc="0" locked="0" layoutInCell="1" allowOverlap="1" wp14:anchorId="65F27E6A" wp14:editId="4ECF6E42">
            <wp:simplePos x="0" y="0"/>
            <wp:positionH relativeFrom="column">
              <wp:posOffset>3992245</wp:posOffset>
            </wp:positionH>
            <wp:positionV relativeFrom="paragraph">
              <wp:posOffset>-530860</wp:posOffset>
            </wp:positionV>
            <wp:extent cx="1304170" cy="342476"/>
            <wp:effectExtent l="0" t="0" r="0" b="63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E758956-DBE1-40F9-9D26-E04AB84C0D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E758956-DBE1-40F9-9D26-E04AB84C0D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170" cy="342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E42">
        <w:rPr>
          <w:color w:val="C40064" w:themeColor="accent1"/>
        </w:rPr>
        <w:drawing>
          <wp:anchor distT="0" distB="0" distL="114300" distR="114300" simplePos="0" relativeHeight="251659264" behindDoc="0" locked="0" layoutInCell="1" allowOverlap="1" wp14:anchorId="11824651" wp14:editId="112E8AB9">
            <wp:simplePos x="0" y="0"/>
            <wp:positionH relativeFrom="column">
              <wp:posOffset>5445347</wp:posOffset>
            </wp:positionH>
            <wp:positionV relativeFrom="paragraph">
              <wp:posOffset>-582295</wp:posOffset>
            </wp:positionV>
            <wp:extent cx="633508" cy="626839"/>
            <wp:effectExtent l="0" t="0" r="0" b="1905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CD3C0EA-9E5A-402D-BABB-2C20CFB6D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CD3C0EA-9E5A-402D-BABB-2C20CFB6D0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07" cy="63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color w:val="C40064" w:themeColor="accent1"/>
        </w:rPr>
        <w:id w:val="184843191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F563A81" w14:textId="1AB1BE3D" w:rsidR="00D865D9" w:rsidRPr="00F32FC8" w:rsidRDefault="00D865D9" w:rsidP="00DC1E42">
          <w:pPr>
            <w:rPr>
              <w:b/>
              <w:bCs/>
              <w:color w:val="730337" w:themeColor="background2" w:themeShade="40"/>
            </w:rPr>
          </w:pPr>
          <w:r w:rsidRPr="00F32FC8">
            <w:rPr>
              <w:b/>
              <w:bCs/>
              <w:color w:val="730337" w:themeColor="background2" w:themeShade="40"/>
            </w:rPr>
            <w:t xml:space="preserve">Mallförslag för </w:t>
          </w:r>
        </w:p>
        <w:p w14:paraId="4A0F3A8F" w14:textId="6881A8B0" w:rsidR="00D865D9" w:rsidRPr="00F32FC8" w:rsidRDefault="00ED41A8" w:rsidP="00F32FC8">
          <w:pPr>
            <w:rPr>
              <w:color w:val="730337" w:themeColor="background2" w:themeShade="40"/>
              <w:sz w:val="40"/>
              <w:szCs w:val="40"/>
            </w:rPr>
          </w:pPr>
          <w:r>
            <w:rPr>
              <w:color w:val="730337" w:themeColor="background2" w:themeShade="40"/>
              <w:sz w:val="40"/>
              <w:szCs w:val="40"/>
            </w:rPr>
            <w:t>Beslutsunderlag</w:t>
          </w:r>
          <w:r w:rsidRPr="00F32FC8">
            <w:rPr>
              <w:color w:val="730337" w:themeColor="background2" w:themeShade="40"/>
              <w:sz w:val="40"/>
              <w:szCs w:val="40"/>
            </w:rPr>
            <w:t xml:space="preserve"> </w:t>
          </w:r>
          <w:r w:rsidR="00D865D9" w:rsidRPr="00F32FC8">
            <w:rPr>
              <w:color w:val="730337" w:themeColor="background2" w:themeShade="40"/>
              <w:sz w:val="40"/>
              <w:szCs w:val="40"/>
            </w:rPr>
            <w:t>för [</w:t>
          </w:r>
          <w:r w:rsidR="00D865D9" w:rsidRPr="00F32FC8">
            <w:rPr>
              <w:i/>
              <w:iCs/>
              <w:color w:val="730337" w:themeColor="background2" w:themeShade="40"/>
              <w:sz w:val="40"/>
              <w:szCs w:val="40"/>
            </w:rPr>
            <w:t>kommunens namn</w:t>
          </w:r>
          <w:r w:rsidR="00D865D9" w:rsidRPr="00F32FC8">
            <w:rPr>
              <w:color w:val="730337" w:themeColor="background2" w:themeShade="40"/>
              <w:sz w:val="40"/>
              <w:szCs w:val="40"/>
            </w:rPr>
            <w:t>] arbete med Öppna data</w:t>
          </w:r>
        </w:p>
        <w:p w14:paraId="6F641AA7" w14:textId="464A50C9" w:rsidR="005074DC" w:rsidRPr="00614400" w:rsidRDefault="005074DC">
          <w:pPr>
            <w:pStyle w:val="Ingetavstnd"/>
            <w:spacing w:before="480"/>
            <w:jc w:val="center"/>
            <w:rPr>
              <w:color w:val="C40064" w:themeColor="accent1"/>
              <w:lang w:val="sv-SE"/>
            </w:rPr>
          </w:pPr>
        </w:p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2155"/>
            <w:gridCol w:w="6901"/>
          </w:tblGrid>
          <w:tr w:rsidR="00D865D9" w14:paraId="5C40E8C7" w14:textId="77777777" w:rsidTr="00B44804">
            <w:tc>
              <w:tcPr>
                <w:tcW w:w="2155" w:type="dxa"/>
              </w:tcPr>
              <w:p w14:paraId="134EC135" w14:textId="77777777" w:rsidR="00D865D9" w:rsidRDefault="00D865D9" w:rsidP="00B44804">
                <w:r>
                  <w:t>Syfte med detta dokument:</w:t>
                </w:r>
              </w:p>
            </w:tc>
            <w:tc>
              <w:tcPr>
                <w:tcW w:w="6901" w:type="dxa"/>
              </w:tcPr>
              <w:p w14:paraId="4F56C2B4" w14:textId="3EF0B785" w:rsidR="00D865D9" w:rsidRDefault="00D865D9" w:rsidP="00B44804">
                <w:r>
                  <w:t xml:space="preserve">Detta dokument är framtaget inom ramen för ÖDIS-projektet i syftet att utgöra en mall som kan användas som grund för utveckling av </w:t>
                </w:r>
                <w:r w:rsidR="00E05105">
                  <w:t>policydokument</w:t>
                </w:r>
                <w:r>
                  <w:t xml:space="preserve"> för enskilda </w:t>
                </w:r>
                <w:r w:rsidR="0024531B">
                  <w:t>myndigheter</w:t>
                </w:r>
                <w:r>
                  <w:t xml:space="preserve"> i arbetet med öppna data. </w:t>
                </w:r>
              </w:p>
              <w:p w14:paraId="4E7852EC" w14:textId="55E44243" w:rsidR="00D865D9" w:rsidRDefault="00D865D9" w:rsidP="00B44804"/>
              <w:p w14:paraId="79121846" w14:textId="0C1A976C" w:rsidR="00D865D9" w:rsidRDefault="00D865D9" w:rsidP="00B44804">
                <w:r>
                  <w:t xml:space="preserve">Dokumentet kan med fördel användas som bilaga till tjänsteutlåtande och beslutsunderlag på för </w:t>
                </w:r>
                <w:r w:rsidR="007031B8">
                  <w:t>myndigheten</w:t>
                </w:r>
                <w:r>
                  <w:t xml:space="preserve"> lämplig politisk nivå.</w:t>
                </w:r>
              </w:p>
              <w:p w14:paraId="463A2EE3" w14:textId="424C00AB" w:rsidR="00D865D9" w:rsidRDefault="00D865D9" w:rsidP="00B44804"/>
              <w:p w14:paraId="4125A53D" w14:textId="26A87777" w:rsidR="00D865D9" w:rsidRDefault="00D865D9" w:rsidP="00B44804">
                <w:r>
                  <w:t xml:space="preserve">Det är fritt för respektive </w:t>
                </w:r>
                <w:r w:rsidR="007031B8">
                  <w:t>myndighet</w:t>
                </w:r>
                <w:r>
                  <w:t xml:space="preserve"> att använda detta mallförslag och justera det utifrån </w:t>
                </w:r>
                <w:r w:rsidR="005F67D1">
                  <w:t>myndighetens</w:t>
                </w:r>
                <w:r>
                  <w:t xml:space="preserve"> egna förutsättningar och behov. Innehållet i dokumentet bör då föras över i </w:t>
                </w:r>
                <w:r w:rsidR="005F67D1">
                  <w:t>myndighetens</w:t>
                </w:r>
                <w:r>
                  <w:t xml:space="preserve"> dokumentmall</w:t>
                </w:r>
              </w:p>
            </w:tc>
          </w:tr>
          <w:tr w:rsidR="00455548" w14:paraId="111B47AB" w14:textId="77777777" w:rsidTr="00B44804">
            <w:tc>
              <w:tcPr>
                <w:tcW w:w="2155" w:type="dxa"/>
              </w:tcPr>
              <w:p w14:paraId="13CEB587" w14:textId="07AD8B12" w:rsidR="00455548" w:rsidRDefault="00455548" w:rsidP="00B44804">
                <w:r>
                  <w:t>Mer information</w:t>
                </w:r>
                <w:r w:rsidR="00D04A6D">
                  <w:t>:</w:t>
                </w:r>
              </w:p>
            </w:tc>
            <w:tc>
              <w:tcPr>
                <w:tcW w:w="6901" w:type="dxa"/>
              </w:tcPr>
              <w:p w14:paraId="31FC97C1" w14:textId="7CDA02FC" w:rsidR="00E8233E" w:rsidRPr="00E8233E" w:rsidRDefault="00E8233E" w:rsidP="00E8233E">
                <w:pPr>
                  <w:rPr>
                    <w:lang w:val="en-SE"/>
                  </w:rPr>
                </w:pPr>
                <w:r w:rsidRPr="00E8233E">
                  <w:t>Projektet Ökad användning av öppna data i Stockholmsregionen (ÖDIS)</w:t>
                </w:r>
                <w:r w:rsidR="00851AF7">
                  <w:t xml:space="preserve"> </w:t>
                </w:r>
                <w:r w:rsidRPr="00E8233E">
                  <w:t xml:space="preserve">var en gemensam satsning av samtliga 26 kommuner i kommunsamarbetet </w:t>
                </w:r>
                <w:proofErr w:type="spellStart"/>
                <w:r w:rsidRPr="00E8233E">
                  <w:t>Storsthlm</w:t>
                </w:r>
                <w:proofErr w:type="spellEnd"/>
                <w:r w:rsidRPr="00E8233E">
                  <w:t xml:space="preserve">. Projektet pågick april 2018 – december 2020. </w:t>
                </w:r>
              </w:p>
              <w:p w14:paraId="2E505BE9" w14:textId="4B175F3D" w:rsidR="00E8233E" w:rsidRPr="00E8233E" w:rsidRDefault="00E8233E" w:rsidP="00E8233E"/>
              <w:p w14:paraId="7C16C89E" w14:textId="05F659C4" w:rsidR="00455548" w:rsidRPr="00E8233E" w:rsidRDefault="00E8233E" w:rsidP="00E8233E">
                <w:pPr>
                  <w:rPr>
                    <w:lang w:val="en-SE"/>
                  </w:rPr>
                </w:pPr>
                <w:r w:rsidRPr="00E8233E">
                  <w:t xml:space="preserve">Läs mer om projektet och hitta mer stödmaterial likt detta på </w:t>
                </w:r>
                <w:hyperlink r:id="rId12" w:history="1">
                  <w:proofErr w:type="spellStart"/>
                  <w:proofErr w:type="gramStart"/>
                  <w:r w:rsidRPr="00E8233E">
                    <w:rPr>
                      <w:rStyle w:val="Hyperlnk"/>
                    </w:rPr>
                    <w:t>smartstad.stockholm</w:t>
                  </w:r>
                  <w:proofErr w:type="spellEnd"/>
                  <w:proofErr w:type="gramEnd"/>
                </w:hyperlink>
                <w:hyperlink r:id="rId13" w:history="1">
                  <w:r w:rsidRPr="00E8233E">
                    <w:rPr>
                      <w:rStyle w:val="Hyperlnk"/>
                    </w:rPr>
                    <w:t>/</w:t>
                  </w:r>
                  <w:proofErr w:type="spellStart"/>
                </w:hyperlink>
                <w:hyperlink r:id="rId14" w:history="1">
                  <w:r w:rsidRPr="00E8233E">
                    <w:rPr>
                      <w:rStyle w:val="Hyperlnk"/>
                    </w:rPr>
                    <w:t>odis</w:t>
                  </w:r>
                  <w:proofErr w:type="spellEnd"/>
                </w:hyperlink>
              </w:p>
            </w:tc>
          </w:tr>
        </w:tbl>
        <w:p w14:paraId="7878AAB1" w14:textId="1B78D3ED" w:rsidR="005074DC" w:rsidRDefault="005074DC">
          <w:r>
            <w:br w:type="page"/>
          </w:r>
        </w:p>
      </w:sdtContent>
    </w:sdt>
    <w:p w14:paraId="2D3EEBD2" w14:textId="61E991CE" w:rsidR="00791E55" w:rsidRDefault="00791E55" w:rsidP="00791E55"/>
    <w:p w14:paraId="588B86B8" w14:textId="5E9F2769" w:rsidR="00791E55" w:rsidRDefault="00791E55" w:rsidP="00791E55"/>
    <w:p w14:paraId="1AB7E181" w14:textId="592B5E93" w:rsidR="004726EC" w:rsidRDefault="004726EC" w:rsidP="00791E55"/>
    <w:p w14:paraId="6FD81BB2" w14:textId="50AB63E3" w:rsidR="004726EC" w:rsidRDefault="004726EC" w:rsidP="00791E55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sv-SE"/>
        </w:rPr>
        <w:id w:val="-18134024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3FACAE" w14:textId="6836091B" w:rsidR="00F32FC8" w:rsidRDefault="00F32FC8">
          <w:pPr>
            <w:pStyle w:val="Innehllsfrteckningsrubrik"/>
          </w:pPr>
          <w:r w:rsidRPr="00F542DB">
            <w:rPr>
              <w:lang w:val="sv-SE"/>
            </w:rPr>
            <w:t>Innehållsförteckning</w:t>
          </w:r>
        </w:p>
        <w:p w14:paraId="71570439" w14:textId="745BA78E" w:rsidR="004F4806" w:rsidRDefault="00F32FC8">
          <w:pPr>
            <w:pStyle w:val="Innehll2"/>
            <w:tabs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val="en-US"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40408" w:history="1">
            <w:r w:rsidR="004F4806" w:rsidRPr="00E61D72">
              <w:rPr>
                <w:rStyle w:val="Hyperlnk"/>
                <w:noProof/>
              </w:rPr>
              <w:t>Inledning</w:t>
            </w:r>
            <w:r w:rsidR="004F4806">
              <w:rPr>
                <w:noProof/>
                <w:webHidden/>
              </w:rPr>
              <w:tab/>
            </w:r>
            <w:r w:rsidR="004F4806">
              <w:rPr>
                <w:noProof/>
                <w:webHidden/>
              </w:rPr>
              <w:fldChar w:fldCharType="begin"/>
            </w:r>
            <w:r w:rsidR="004F4806">
              <w:rPr>
                <w:noProof/>
                <w:webHidden/>
              </w:rPr>
              <w:instrText xml:space="preserve"> PAGEREF _Toc41940408 \h </w:instrText>
            </w:r>
            <w:r w:rsidR="004F4806">
              <w:rPr>
                <w:noProof/>
                <w:webHidden/>
              </w:rPr>
            </w:r>
            <w:r w:rsidR="004F4806">
              <w:rPr>
                <w:noProof/>
                <w:webHidden/>
              </w:rPr>
              <w:fldChar w:fldCharType="separate"/>
            </w:r>
            <w:r w:rsidR="0024531B">
              <w:rPr>
                <w:noProof/>
                <w:webHidden/>
              </w:rPr>
              <w:t>2</w:t>
            </w:r>
            <w:r w:rsidR="004F4806">
              <w:rPr>
                <w:noProof/>
                <w:webHidden/>
              </w:rPr>
              <w:fldChar w:fldCharType="end"/>
            </w:r>
          </w:hyperlink>
        </w:p>
        <w:p w14:paraId="3249FD43" w14:textId="3B46531E" w:rsidR="004F4806" w:rsidRDefault="00E51DA2">
          <w:pPr>
            <w:pStyle w:val="Innehll3"/>
            <w:tabs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val="en-US" w:eastAsia="zh-CN"/>
            </w:rPr>
          </w:pPr>
          <w:hyperlink w:anchor="_Toc41940409" w:history="1">
            <w:r w:rsidR="004F4806" w:rsidRPr="00E61D72">
              <w:rPr>
                <w:rStyle w:val="Hyperlnk"/>
                <w:noProof/>
              </w:rPr>
              <w:t>Skärpta krav på tillgängliggörande av offentliga handlingar för vidareutnyttjande</w:t>
            </w:r>
            <w:r w:rsidR="004F4806">
              <w:rPr>
                <w:noProof/>
                <w:webHidden/>
              </w:rPr>
              <w:tab/>
            </w:r>
            <w:r w:rsidR="004F4806">
              <w:rPr>
                <w:noProof/>
                <w:webHidden/>
              </w:rPr>
              <w:fldChar w:fldCharType="begin"/>
            </w:r>
            <w:r w:rsidR="004F4806">
              <w:rPr>
                <w:noProof/>
                <w:webHidden/>
              </w:rPr>
              <w:instrText xml:space="preserve"> PAGEREF _Toc41940409 \h </w:instrText>
            </w:r>
            <w:r w:rsidR="004F4806">
              <w:rPr>
                <w:noProof/>
                <w:webHidden/>
              </w:rPr>
            </w:r>
            <w:r w:rsidR="004F4806">
              <w:rPr>
                <w:noProof/>
                <w:webHidden/>
              </w:rPr>
              <w:fldChar w:fldCharType="separate"/>
            </w:r>
            <w:r w:rsidR="0024531B">
              <w:rPr>
                <w:noProof/>
                <w:webHidden/>
              </w:rPr>
              <w:t>2</w:t>
            </w:r>
            <w:r w:rsidR="004F4806">
              <w:rPr>
                <w:noProof/>
                <w:webHidden/>
              </w:rPr>
              <w:fldChar w:fldCharType="end"/>
            </w:r>
          </w:hyperlink>
        </w:p>
        <w:p w14:paraId="5B85C53C" w14:textId="066A25F1" w:rsidR="004F4806" w:rsidRDefault="00E51DA2">
          <w:pPr>
            <w:pStyle w:val="Innehll2"/>
            <w:tabs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val="en-US" w:eastAsia="zh-CN"/>
            </w:rPr>
          </w:pPr>
          <w:hyperlink w:anchor="_Toc41940410" w:history="1">
            <w:r w:rsidR="004F4806" w:rsidRPr="00E61D72">
              <w:rPr>
                <w:rStyle w:val="Hyperlnk"/>
                <w:noProof/>
              </w:rPr>
              <w:t>Få beslut på och stöd för öppna data</w:t>
            </w:r>
            <w:r w:rsidR="004F4806">
              <w:rPr>
                <w:noProof/>
                <w:webHidden/>
              </w:rPr>
              <w:tab/>
            </w:r>
            <w:r w:rsidR="004F4806">
              <w:rPr>
                <w:noProof/>
                <w:webHidden/>
              </w:rPr>
              <w:fldChar w:fldCharType="begin"/>
            </w:r>
            <w:r w:rsidR="004F4806">
              <w:rPr>
                <w:noProof/>
                <w:webHidden/>
              </w:rPr>
              <w:instrText xml:space="preserve"> PAGEREF _Toc41940410 \h </w:instrText>
            </w:r>
            <w:r w:rsidR="004F4806">
              <w:rPr>
                <w:noProof/>
                <w:webHidden/>
              </w:rPr>
            </w:r>
            <w:r w:rsidR="004F4806">
              <w:rPr>
                <w:noProof/>
                <w:webHidden/>
              </w:rPr>
              <w:fldChar w:fldCharType="separate"/>
            </w:r>
            <w:r w:rsidR="0024531B">
              <w:rPr>
                <w:noProof/>
                <w:webHidden/>
              </w:rPr>
              <w:t>2</w:t>
            </w:r>
            <w:r w:rsidR="004F4806">
              <w:rPr>
                <w:noProof/>
                <w:webHidden/>
              </w:rPr>
              <w:fldChar w:fldCharType="end"/>
            </w:r>
          </w:hyperlink>
        </w:p>
        <w:p w14:paraId="35EC7D18" w14:textId="42FC11AF" w:rsidR="004F4806" w:rsidRDefault="00E51DA2">
          <w:pPr>
            <w:pStyle w:val="Innehll2"/>
            <w:tabs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val="en-US" w:eastAsia="zh-CN"/>
            </w:rPr>
          </w:pPr>
          <w:hyperlink w:anchor="_Toc41940411" w:history="1">
            <w:r w:rsidR="004F4806" w:rsidRPr="00E61D72">
              <w:rPr>
                <w:rStyle w:val="Hyperlnk"/>
                <w:noProof/>
              </w:rPr>
              <w:t>Styrande principer</w:t>
            </w:r>
            <w:r w:rsidR="004F4806">
              <w:rPr>
                <w:noProof/>
                <w:webHidden/>
              </w:rPr>
              <w:tab/>
            </w:r>
            <w:r w:rsidR="004F4806">
              <w:rPr>
                <w:noProof/>
                <w:webHidden/>
              </w:rPr>
              <w:fldChar w:fldCharType="begin"/>
            </w:r>
            <w:r w:rsidR="004F4806">
              <w:rPr>
                <w:noProof/>
                <w:webHidden/>
              </w:rPr>
              <w:instrText xml:space="preserve"> PAGEREF _Toc41940411 \h </w:instrText>
            </w:r>
            <w:r w:rsidR="004F4806">
              <w:rPr>
                <w:noProof/>
                <w:webHidden/>
              </w:rPr>
            </w:r>
            <w:r w:rsidR="004F4806">
              <w:rPr>
                <w:noProof/>
                <w:webHidden/>
              </w:rPr>
              <w:fldChar w:fldCharType="separate"/>
            </w:r>
            <w:r w:rsidR="0024531B">
              <w:rPr>
                <w:noProof/>
                <w:webHidden/>
              </w:rPr>
              <w:t>3</w:t>
            </w:r>
            <w:r w:rsidR="004F4806">
              <w:rPr>
                <w:noProof/>
                <w:webHidden/>
              </w:rPr>
              <w:fldChar w:fldCharType="end"/>
            </w:r>
          </w:hyperlink>
        </w:p>
        <w:p w14:paraId="1FD074E4" w14:textId="22B0BD33" w:rsidR="00F32FC8" w:rsidRDefault="00F32FC8">
          <w:r>
            <w:fldChar w:fldCharType="end"/>
          </w:r>
        </w:p>
      </w:sdtContent>
    </w:sdt>
    <w:p w14:paraId="48006E2D" w14:textId="77777777" w:rsidR="00D865D9" w:rsidRDefault="00D865D9">
      <w:pPr>
        <w:rPr>
          <w:rFonts w:asciiTheme="majorHAnsi" w:eastAsiaTheme="majorEastAsia" w:hAnsiTheme="majorHAnsi" w:cstheme="majorBidi"/>
          <w:color w:val="92004A" w:themeColor="accent1" w:themeShade="BF"/>
          <w:sz w:val="32"/>
          <w:szCs w:val="32"/>
        </w:rPr>
      </w:pPr>
      <w:r>
        <w:br w:type="page"/>
      </w:r>
    </w:p>
    <w:p w14:paraId="73BEACB3" w14:textId="53B46636" w:rsidR="00C26D97" w:rsidRDefault="00C26D97" w:rsidP="00D865D9">
      <w:pPr>
        <w:pStyle w:val="Rubrik2"/>
      </w:pPr>
      <w:bookmarkStart w:id="0" w:name="_Toc41940408"/>
      <w:r>
        <w:lastRenderedPageBreak/>
        <w:t>Inledning</w:t>
      </w:r>
      <w:bookmarkEnd w:id="0"/>
    </w:p>
    <w:p w14:paraId="73F829F3" w14:textId="7A886491" w:rsidR="00E37661" w:rsidRPr="00E37661" w:rsidRDefault="00E37661" w:rsidP="00E37661">
      <w:r w:rsidRPr="00E37661">
        <w:t>Lagen om vidareutnyttjande av handlingar från den offentliga förvaltningen</w:t>
      </w:r>
    </w:p>
    <w:p w14:paraId="155C4A5F" w14:textId="0AF15613" w:rsidR="00791E55" w:rsidRDefault="00E37661" w:rsidP="00E37661">
      <w:r>
        <w:t>(Lag 2010:566</w:t>
      </w:r>
      <w:r w:rsidR="0055625F">
        <w:t>, den</w:t>
      </w:r>
      <w:r>
        <w:t xml:space="preserve"> </w:t>
      </w:r>
      <w:r w:rsidRPr="00E37661">
        <w:t>s k PSI Lagen</w:t>
      </w:r>
      <w:r w:rsidR="0055625F">
        <w:t xml:space="preserve"> (PSI=Public </w:t>
      </w:r>
      <w:proofErr w:type="spellStart"/>
      <w:r w:rsidR="0055625F">
        <w:t>Sector</w:t>
      </w:r>
      <w:proofErr w:type="spellEnd"/>
      <w:r w:rsidR="0055625F">
        <w:t xml:space="preserve"> Information</w:t>
      </w:r>
      <w:r w:rsidR="004D6B9A">
        <w:t>)</w:t>
      </w:r>
      <w:r w:rsidR="0055625F">
        <w:t xml:space="preserve">) </w:t>
      </w:r>
      <w:r>
        <w:t xml:space="preserve">är sedan 2010 en lag baserat på ett PSI-direktiv från EU-kommissionen. </w:t>
      </w:r>
      <w:r w:rsidR="0055625F">
        <w:t>S</w:t>
      </w:r>
      <w:r>
        <w:t>yftet med lagen är att göra offentlig information mer tillgänglig så att olika aktörer i samhället ska kunna använda öpp</w:t>
      </w:r>
      <w:r w:rsidR="005F305D">
        <w:t>na</w:t>
      </w:r>
      <w:r>
        <w:t xml:space="preserve"> data för att skapa nya produkter och tjänster. </w:t>
      </w:r>
      <w:r w:rsidR="00791E55">
        <w:t xml:space="preserve">Öppna data avser digital information som fritt kan användas utan inskränkningar. </w:t>
      </w:r>
    </w:p>
    <w:p w14:paraId="7CB3A706" w14:textId="77777777" w:rsidR="00E37661" w:rsidRDefault="00E37661" w:rsidP="00E37661"/>
    <w:p w14:paraId="1F040669" w14:textId="24B25110" w:rsidR="00753038" w:rsidRDefault="00136BCE" w:rsidP="00753038">
      <w:r w:rsidRPr="00136BCE">
        <w:t>Öppna data handlar ytterst om Offentlighetsprincipen</w:t>
      </w:r>
      <w:r w:rsidR="00E37661">
        <w:t xml:space="preserve"> och </w:t>
      </w:r>
      <w:r w:rsidR="00753038">
        <w:t>rätten att ta del av allmänna handlingar och särskilt se till att allmänna handlingar kan lämnas ut med den skyndsamhet som krävs enligt tryckfrihetsförordningen</w:t>
      </w:r>
      <w:r w:rsidR="00EB5291">
        <w:t xml:space="preserve">. </w:t>
      </w:r>
    </w:p>
    <w:p w14:paraId="7B753851" w14:textId="77777777" w:rsidR="00753038" w:rsidRDefault="00753038" w:rsidP="00753038"/>
    <w:p w14:paraId="49F1365F" w14:textId="00F1B469" w:rsidR="00E05105" w:rsidRDefault="00E05105" w:rsidP="00E05105">
      <w:pPr>
        <w:pStyle w:val="Rubrik3"/>
      </w:pPr>
      <w:bookmarkStart w:id="1" w:name="_Toc41940409"/>
      <w:r>
        <w:t>Skärp</w:t>
      </w:r>
      <w:r w:rsidR="00E37661">
        <w:t>t</w:t>
      </w:r>
      <w:r>
        <w:t>a krav på tillgängliggörande av offentliga handlingar för vidareutnyttjande</w:t>
      </w:r>
      <w:bookmarkEnd w:id="1"/>
    </w:p>
    <w:p w14:paraId="1B9FAD4A" w14:textId="20683DBF" w:rsidR="004F4806" w:rsidRDefault="004F4806" w:rsidP="004F4806">
      <w:r>
        <w:t>PSI-</w:t>
      </w:r>
      <w:r w:rsidRPr="004F4806">
        <w:t xml:space="preserve">direktivet har inte </w:t>
      </w:r>
      <w:r w:rsidR="00ED41A8">
        <w:t>haft</w:t>
      </w:r>
      <w:r w:rsidR="00ED41A8" w:rsidRPr="004F4806">
        <w:t xml:space="preserve"> </w:t>
      </w:r>
      <w:r w:rsidRPr="004F4806">
        <w:t xml:space="preserve">den effekt på den europeiska marknaden som kommissionen hade för avsikt </w:t>
      </w:r>
      <w:r w:rsidR="004D6B9A">
        <w:t>varpå</w:t>
      </w:r>
      <w:r w:rsidRPr="004F4806">
        <w:t xml:space="preserve"> </w:t>
      </w:r>
      <w:r>
        <w:t xml:space="preserve">EU </w:t>
      </w:r>
      <w:r w:rsidR="006A1A89" w:rsidRPr="006A1A89">
        <w:t xml:space="preserve">i juni 2019 </w:t>
      </w:r>
      <w:r w:rsidR="004D6B9A">
        <w:t xml:space="preserve">beslutade </w:t>
      </w:r>
      <w:r w:rsidR="006A1A89" w:rsidRPr="006A1A89">
        <w:t xml:space="preserve">att anta </w:t>
      </w:r>
      <w:r w:rsidR="006A1A89">
        <w:t xml:space="preserve">ett </w:t>
      </w:r>
      <w:r w:rsidR="00E37661">
        <w:t xml:space="preserve">nytt </w:t>
      </w:r>
      <w:r w:rsidR="006A1A89" w:rsidRPr="006A1A89">
        <w:t xml:space="preserve">direktiv </w:t>
      </w:r>
      <w:r w:rsidR="00E37661">
        <w:t>(</w:t>
      </w:r>
      <w:r w:rsidR="006A1A89" w:rsidRPr="006A1A89">
        <w:t>2019/1024</w:t>
      </w:r>
      <w:r w:rsidR="00E37661">
        <w:t xml:space="preserve">) </w:t>
      </w:r>
      <w:r w:rsidR="006A1A89" w:rsidRPr="006A1A89">
        <w:t xml:space="preserve">om öppna data och vidareutnyttjande av information från den offentliga sektorn, det s.k. Öppna datadirektivet. </w:t>
      </w:r>
      <w:r w:rsidRPr="004F4806">
        <w:t xml:space="preserve">Öppna datadirektivet reglerar hur statliga och kommunala myndigheter, kommunala bolag, arkiv, museer och bibliotek får agera när de tillhandahåller handlingar för vidareutnyttjande. Direktivet reglerar handlingar både i elektronisk- och pappersform. </w:t>
      </w:r>
    </w:p>
    <w:p w14:paraId="0D96177D" w14:textId="77777777" w:rsidR="004F4806" w:rsidRPr="004F4806" w:rsidRDefault="004F4806" w:rsidP="004F4806"/>
    <w:p w14:paraId="05C1E3FA" w14:textId="4F29EE56" w:rsidR="004F4806" w:rsidRPr="004F4806" w:rsidRDefault="004F4806" w:rsidP="004F4806">
      <w:r w:rsidRPr="004F4806">
        <w:t xml:space="preserve">I det omarbetade direktivet är öppenhet en huvudprincip. Det omarbetade direktivet syftar till att öka vidareutnyttjandet av offentlig information eller data och innehåller bestämmelser om bland annat följande: </w:t>
      </w:r>
    </w:p>
    <w:p w14:paraId="7A53AA0F" w14:textId="0BC18719" w:rsidR="004F4806" w:rsidRPr="004F4806" w:rsidRDefault="004F4806" w:rsidP="004F4806">
      <w:pPr>
        <w:pStyle w:val="Liststycke"/>
        <w:numPr>
          <w:ilvl w:val="0"/>
          <w:numId w:val="37"/>
        </w:numPr>
      </w:pPr>
      <w:r w:rsidRPr="004F4806">
        <w:t xml:space="preserve">Medlemsstaterna ska </w:t>
      </w:r>
      <w:r>
        <w:t xml:space="preserve">senast 17 juli </w:t>
      </w:r>
      <w:r w:rsidR="00ED41A8">
        <w:t xml:space="preserve">2021 </w:t>
      </w:r>
      <w:r w:rsidRPr="004F4806">
        <w:t xml:space="preserve">anta nationella strategier som syftar till att göra offentligt finansierade forskningsdata tillgängliga </w:t>
      </w:r>
    </w:p>
    <w:p w14:paraId="76B00326" w14:textId="382C6B86" w:rsidR="004F4806" w:rsidRPr="004F4806" w:rsidRDefault="004F4806" w:rsidP="004F4806">
      <w:pPr>
        <w:pStyle w:val="Liststycke"/>
        <w:numPr>
          <w:ilvl w:val="0"/>
          <w:numId w:val="37"/>
        </w:numPr>
      </w:pPr>
      <w:r w:rsidRPr="004F4806">
        <w:t>Möjliggöra vidareutnyttjande av så kallade dynamisk</w:t>
      </w:r>
      <w:r w:rsidR="00773D14">
        <w:t>a</w:t>
      </w:r>
      <w:r w:rsidRPr="004F4806">
        <w:t xml:space="preserve"> data (handlingar i elektroniskt format som uppdateras ofta eller i realtid till exempel transport- eller väderdata från sensorer och satelliter)</w:t>
      </w:r>
    </w:p>
    <w:p w14:paraId="5975B2D4" w14:textId="133EE505" w:rsidR="004F4806" w:rsidRPr="004F4806" w:rsidRDefault="004F4806" w:rsidP="004F4806">
      <w:pPr>
        <w:pStyle w:val="Liststycke"/>
        <w:numPr>
          <w:ilvl w:val="0"/>
          <w:numId w:val="37"/>
        </w:numPr>
      </w:pPr>
      <w:r w:rsidRPr="004F4806">
        <w:t>Inkludera vissa offentliga företag i direktivets omfattning (främst inom sektorerna vatten, energi och transport)</w:t>
      </w:r>
    </w:p>
    <w:p w14:paraId="135A49C2" w14:textId="77777777" w:rsidR="004F4806" w:rsidRPr="004F4806" w:rsidRDefault="004F4806" w:rsidP="004F4806">
      <w:pPr>
        <w:pStyle w:val="Liststycke"/>
        <w:numPr>
          <w:ilvl w:val="0"/>
          <w:numId w:val="37"/>
        </w:numPr>
      </w:pPr>
      <w:r w:rsidRPr="004F4806">
        <w:t>Kommissionen ska ges ett mandat att ta fram en särskild EU-gemensam lista med datamängder, så kallad ”</w:t>
      </w:r>
      <w:proofErr w:type="spellStart"/>
      <w:r w:rsidRPr="004F4806">
        <w:t>high-value</w:t>
      </w:r>
      <w:proofErr w:type="spellEnd"/>
      <w:r w:rsidRPr="004F4806">
        <w:t xml:space="preserve"> data” som anses bidra till samhällsekonomiska vinster inom EU. De kategorier av datamängder som inkluderas i listan ska tillgängliggöras av medlemsstaterna utan avgifter och med minimala restriktioner</w:t>
      </w:r>
    </w:p>
    <w:p w14:paraId="1A60DF0C" w14:textId="77777777" w:rsidR="002006BA" w:rsidRDefault="002006BA" w:rsidP="006A1A89"/>
    <w:p w14:paraId="6CC33201" w14:textId="1DD4DDDF" w:rsidR="006A1A89" w:rsidRDefault="002006BA" w:rsidP="003C7ED3">
      <w:r>
        <w:t>Sveriges</w:t>
      </w:r>
      <w:r w:rsidR="006A1A89">
        <w:t xml:space="preserve"> regering </w:t>
      </w:r>
      <w:r w:rsidR="3CDA0A55">
        <w:t xml:space="preserve">tillsatte </w:t>
      </w:r>
      <w:r>
        <w:t>som en följd av det nya direktivet</w:t>
      </w:r>
      <w:r w:rsidR="006A1A89">
        <w:t xml:space="preserve"> en Öppna data-utredning, vars uppdrag bl</w:t>
      </w:r>
      <w:r>
        <w:t xml:space="preserve">and annat </w:t>
      </w:r>
      <w:r w:rsidR="3B9BF2FF">
        <w:t xml:space="preserve">var </w:t>
      </w:r>
      <w:r w:rsidR="006A1A89">
        <w:t>att lämna förslag på hur Öppna datadirektivet, ska genomföras i svensk rätt</w:t>
      </w:r>
      <w:r w:rsidR="00C52F32">
        <w:t xml:space="preserve">. </w:t>
      </w:r>
      <w:r w:rsidR="76FFDF5B">
        <w:t>Ett huvudbetänka</w:t>
      </w:r>
      <w:r w:rsidR="009A77ED">
        <w:t>n</w:t>
      </w:r>
      <w:r w:rsidR="76FFDF5B">
        <w:t xml:space="preserve">de med förslag på att ersätta nuvarande PSI-lag med en Öppna datalag lämnades till regeringen den 15 september. </w:t>
      </w:r>
      <w:r w:rsidR="00C52F32">
        <w:t xml:space="preserve">Justering i lag ska </w:t>
      </w:r>
      <w:r w:rsidR="3A79B6F6">
        <w:t xml:space="preserve">ske </w:t>
      </w:r>
      <w:r w:rsidR="00C52F32">
        <w:t>senast den</w:t>
      </w:r>
      <w:r>
        <w:t xml:space="preserve"> </w:t>
      </w:r>
      <w:r w:rsidR="00C52F32">
        <w:t>17 juli</w:t>
      </w:r>
      <w:r>
        <w:t xml:space="preserve"> 202</w:t>
      </w:r>
      <w:r w:rsidR="00C52F32">
        <w:t>1</w:t>
      </w:r>
      <w:r>
        <w:t xml:space="preserve">. </w:t>
      </w:r>
    </w:p>
    <w:p w14:paraId="479D55DE" w14:textId="77D8CF03" w:rsidR="0055625F" w:rsidRDefault="0055625F" w:rsidP="005C6037">
      <w:pPr>
        <w:rPr>
          <w:i/>
          <w:iCs/>
        </w:rPr>
      </w:pPr>
    </w:p>
    <w:p w14:paraId="0D8AC19F" w14:textId="77777777" w:rsidR="005A761F" w:rsidRPr="005A761F" w:rsidRDefault="005A761F" w:rsidP="005A761F">
      <w:pPr>
        <w:pStyle w:val="Rubrik2"/>
      </w:pPr>
      <w:bookmarkStart w:id="2" w:name="_Toc494891719"/>
      <w:bookmarkStart w:id="3" w:name="_Toc41940410"/>
      <w:r w:rsidRPr="005A761F">
        <w:t>Få beslut på och stöd för öppna data</w:t>
      </w:r>
      <w:bookmarkEnd w:id="2"/>
      <w:bookmarkEnd w:id="3"/>
    </w:p>
    <w:p w14:paraId="1F32A750" w14:textId="3BC78DAD" w:rsidR="005A761F" w:rsidRDefault="005A761F" w:rsidP="005A761F">
      <w:pPr>
        <w:pStyle w:val="Brdtext"/>
      </w:pPr>
      <w:r>
        <w:t>För</w:t>
      </w:r>
      <w:r w:rsidR="00ED41A8">
        <w:t xml:space="preserve"> att</w:t>
      </w:r>
      <w:r>
        <w:t xml:space="preserve"> </w:t>
      </w:r>
      <w:r>
        <w:rPr>
          <w:i/>
          <w:iCs/>
        </w:rPr>
        <w:t>[Kommunens namn]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4F4806">
        <w:t>ska vara förberedd för att kunna leva upp till de skärpa lagkrave</w:t>
      </w:r>
      <w:r w:rsidR="004D6B9A">
        <w:t>n</w:t>
      </w:r>
      <w:r w:rsidR="004F4806">
        <w:t xml:space="preserve"> på öppna data </w:t>
      </w:r>
      <w:r>
        <w:t>på ett effektivt sätt</w:t>
      </w:r>
      <w:r w:rsidR="00ED41A8">
        <w:t>,</w:t>
      </w:r>
      <w:r>
        <w:t xml:space="preserve"> är det viktigt att ha ett beslut från [</w:t>
      </w:r>
      <w:r w:rsidRPr="004F4806">
        <w:rPr>
          <w:i/>
          <w:iCs/>
        </w:rPr>
        <w:t>lämplig beslutsnivå i kommunen</w:t>
      </w:r>
      <w:r>
        <w:t xml:space="preserve">] och ledningsgruppens stöd. Detta </w:t>
      </w:r>
      <w:r w:rsidR="00ED41A8">
        <w:t xml:space="preserve">dokument </w:t>
      </w:r>
      <w:r>
        <w:t xml:space="preserve">kan tjäna som underlag för beslut. </w:t>
      </w:r>
    </w:p>
    <w:p w14:paraId="75360C0E" w14:textId="35797883" w:rsidR="004F4806" w:rsidRDefault="004F4806" w:rsidP="005A761F">
      <w:pPr>
        <w:pStyle w:val="Brdtext"/>
      </w:pPr>
    </w:p>
    <w:p w14:paraId="600E10F9" w14:textId="75496487" w:rsidR="00C26D97" w:rsidRPr="003A2FE9" w:rsidRDefault="00C26D97" w:rsidP="003A2FE9">
      <w:pPr>
        <w:pStyle w:val="Rubrik2"/>
      </w:pPr>
      <w:bookmarkStart w:id="4" w:name="_Toc41940411"/>
      <w:r w:rsidRPr="003A2FE9">
        <w:t>Styrande principer</w:t>
      </w:r>
      <w:bookmarkEnd w:id="4"/>
    </w:p>
    <w:p w14:paraId="430AE0C9" w14:textId="452D1806" w:rsidR="00083764" w:rsidRDefault="00083764" w:rsidP="0055625F">
      <w:pPr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i/>
          <w:iCs/>
        </w:rPr>
        <w:t xml:space="preserve"> </w:t>
      </w:r>
      <w:r w:rsidR="0055625F">
        <w:rPr>
          <w:i/>
          <w:iCs/>
        </w:rPr>
        <w:t>[Kommunens namn]</w:t>
      </w:r>
      <w:r w:rsidR="007403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5625F">
        <w:rPr>
          <w:rStyle w:val="normaltextrun"/>
          <w:rFonts w:ascii="Arial" w:hAnsi="Arial" w:cs="Arial"/>
          <w:color w:val="000000"/>
          <w:bdr w:val="none" w:sz="0" w:space="0" w:color="auto" w:frame="1"/>
        </w:rPr>
        <w:t>arbete med öppna data bör utgå från följande</w:t>
      </w:r>
      <w:r w:rsidR="007403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övergripande principer. Principerna </w:t>
      </w:r>
      <w:r w:rsidR="00A25D2B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ska </w:t>
      </w:r>
      <w:r w:rsidR="00740312">
        <w:rPr>
          <w:rStyle w:val="normaltextrun"/>
          <w:rFonts w:ascii="Arial" w:hAnsi="Arial" w:cs="Arial"/>
          <w:color w:val="000000"/>
          <w:bdr w:val="none" w:sz="0" w:space="0" w:color="auto" w:frame="1"/>
        </w:rPr>
        <w:t>tjäna som ”ledstjärnor” vid vägval och beslut</w:t>
      </w:r>
      <w:r w:rsidR="00A25D2B">
        <w:rPr>
          <w:rStyle w:val="normaltextrun"/>
          <w:rFonts w:ascii="Arial" w:hAnsi="Arial" w:cs="Arial"/>
          <w:color w:val="000000"/>
          <w:bdr w:val="none" w:sz="0" w:space="0" w:color="auto" w:frame="1"/>
        </w:rPr>
        <w:t>.</w:t>
      </w:r>
    </w:p>
    <w:p w14:paraId="118F3D10" w14:textId="3F2641C4" w:rsidR="00740312" w:rsidRDefault="00740312" w:rsidP="00083764">
      <w:pPr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</w:p>
    <w:p w14:paraId="216D85B6" w14:textId="604FAEF2" w:rsidR="00795A1E" w:rsidRDefault="00795A1E" w:rsidP="00795A1E">
      <w:pPr>
        <w:pStyle w:val="Rubrik4"/>
        <w:numPr>
          <w:ilvl w:val="0"/>
          <w:numId w:val="35"/>
        </w:numPr>
      </w:pPr>
      <w:r>
        <w:t>All data som kan delas ska delas så öppet som möjligt</w:t>
      </w:r>
    </w:p>
    <w:p w14:paraId="24FCA7AD" w14:textId="750DA34A" w:rsidR="00083764" w:rsidRDefault="00083764" w:rsidP="00795A1E">
      <w:r>
        <w:t>”</w:t>
      </w:r>
      <w:proofErr w:type="spellStart"/>
      <w:r>
        <w:t>Open</w:t>
      </w:r>
      <w:proofErr w:type="spellEnd"/>
      <w:r>
        <w:t xml:space="preserve"> by default”</w:t>
      </w:r>
      <w:r w:rsidR="00A25D2B">
        <w:t xml:space="preserve"> är e</w:t>
      </w:r>
      <w:r>
        <w:t xml:space="preserve">n internationellt förekommande princip som är grundläggande för att få ett rätt </w:t>
      </w:r>
      <w:r w:rsidR="009C5C43">
        <w:t>förhållningssätt</w:t>
      </w:r>
      <w:r>
        <w:t xml:space="preserve"> kring öppna data. Data ska vara öpp</w:t>
      </w:r>
      <w:r w:rsidR="00C906A0">
        <w:t>na</w:t>
      </w:r>
      <w:r>
        <w:t xml:space="preserve"> om inget annat gäller.</w:t>
      </w:r>
      <w:r w:rsidR="00972CB4">
        <w:t xml:space="preserve"> D</w:t>
      </w:r>
      <w:r w:rsidR="00D07CE1">
        <w:t xml:space="preserve">et </w:t>
      </w:r>
      <w:r w:rsidR="00972CB4">
        <w:t xml:space="preserve">går </w:t>
      </w:r>
      <w:r w:rsidR="00D07CE1">
        <w:t>inte att</w:t>
      </w:r>
      <w:r>
        <w:t xml:space="preserve"> förutspå hur öppna data kan användas av </w:t>
      </w:r>
      <w:r w:rsidR="00332701">
        <w:t>företag och innovatörer</w:t>
      </w:r>
      <w:r>
        <w:t xml:space="preserve"> så </w:t>
      </w:r>
      <w:r w:rsidR="00D07CE1">
        <w:t xml:space="preserve">data </w:t>
      </w:r>
      <w:r>
        <w:t>ska inte hålla</w:t>
      </w:r>
      <w:r w:rsidR="00D07CE1">
        <w:t>s</w:t>
      </w:r>
      <w:r>
        <w:t xml:space="preserve"> stäng</w:t>
      </w:r>
      <w:r w:rsidR="002158A3">
        <w:t>da</w:t>
      </w:r>
      <w:r>
        <w:t xml:space="preserve"> bara för att </w:t>
      </w:r>
      <w:r w:rsidR="00D07CE1">
        <w:t>det</w:t>
      </w:r>
      <w:r>
        <w:t xml:space="preserve"> inte</w:t>
      </w:r>
      <w:r w:rsidR="00D07CE1">
        <w:t xml:space="preserve"> går</w:t>
      </w:r>
      <w:r>
        <w:t xml:space="preserve"> ser ett användningsområde just nu. Per definition är framtidens innovationer okända idag</w:t>
      </w:r>
      <w:r w:rsidR="00D07CE1">
        <w:t xml:space="preserve"> och d</w:t>
      </w:r>
      <w:r>
        <w:t xml:space="preserve">ärför </w:t>
      </w:r>
      <w:r w:rsidR="00D07CE1">
        <w:t>bör</w:t>
      </w:r>
      <w:r>
        <w:t xml:space="preserve"> allt vara öppet så långt det går. De enda begränsande faktorerna är av juridisk natur</w:t>
      </w:r>
      <w:r w:rsidR="00795A1E">
        <w:t xml:space="preserve"> </w:t>
      </w:r>
      <w:proofErr w:type="gramStart"/>
      <w:r w:rsidR="00795A1E">
        <w:t>t</w:t>
      </w:r>
      <w:r w:rsidR="00D11392">
        <w:t>.</w:t>
      </w:r>
      <w:r>
        <w:t>ex.</w:t>
      </w:r>
      <w:proofErr w:type="gramEnd"/>
      <w:r>
        <w:t xml:space="preserve"> upphovsrätt, sekretes</w:t>
      </w:r>
      <w:r w:rsidR="00D07CE1">
        <w:t>s och</w:t>
      </w:r>
      <w:r>
        <w:t xml:space="preserve"> personuppgifter</w:t>
      </w:r>
      <w:r w:rsidR="00D07CE1">
        <w:t>.</w:t>
      </w:r>
    </w:p>
    <w:p w14:paraId="483C1D67" w14:textId="77777777" w:rsidR="00795A1E" w:rsidRDefault="00795A1E" w:rsidP="00795A1E"/>
    <w:p w14:paraId="58262534" w14:textId="77777777" w:rsidR="00795A1E" w:rsidRDefault="00795A1E" w:rsidP="00795A1E">
      <w:pPr>
        <w:pStyle w:val="Rubrik4"/>
        <w:numPr>
          <w:ilvl w:val="0"/>
          <w:numId w:val="35"/>
        </w:numPr>
      </w:pPr>
      <w:r>
        <w:t>All data delas efter målgruppens behov</w:t>
      </w:r>
    </w:p>
    <w:p w14:paraId="5EC21E5E" w14:textId="646705D0" w:rsidR="00083764" w:rsidRDefault="00083764" w:rsidP="00083764">
      <w:r>
        <w:t>Att utgå från behov är kritiskt av prioriteringsskäl. Även om princip 1 hävdar att all data ska vara öpp</w:t>
      </w:r>
      <w:r w:rsidR="00D11392">
        <w:t>na</w:t>
      </w:r>
      <w:r>
        <w:t>, så är det en lång resa dit. På vägen</w:t>
      </w:r>
      <w:r w:rsidR="00D07CE1">
        <w:t xml:space="preserve"> dit</w:t>
      </w:r>
      <w:r>
        <w:t xml:space="preserve"> ska målgruppernas behov vara vägledande till vilka data som är prioriterade</w:t>
      </w:r>
      <w:r w:rsidR="00D07CE1">
        <w:t xml:space="preserve">, </w:t>
      </w:r>
      <w:r>
        <w:t xml:space="preserve">dock tillsammans med andra faktorer som </w:t>
      </w:r>
      <w:proofErr w:type="gramStart"/>
      <w:r w:rsidR="004A6FC7">
        <w:t>t.ex.</w:t>
      </w:r>
      <w:proofErr w:type="gramEnd"/>
      <w:r w:rsidR="004A6FC7">
        <w:t xml:space="preserve"> </w:t>
      </w:r>
      <w:r>
        <w:t>kostnad</w:t>
      </w:r>
      <w:r w:rsidR="004A6FC7">
        <w:t xml:space="preserve"> och </w:t>
      </w:r>
      <w:r>
        <w:t xml:space="preserve">risk. </w:t>
      </w:r>
      <w:r w:rsidR="00D07CE1">
        <w:t>Att utgå i</w:t>
      </w:r>
      <w:r>
        <w:t>från behoven</w:t>
      </w:r>
      <w:r w:rsidR="00D07CE1">
        <w:t xml:space="preserve"> leder till att </w:t>
      </w:r>
      <w:r w:rsidR="004A6FC7">
        <w:t>mer</w:t>
      </w:r>
      <w:r>
        <w:t xml:space="preserve"> användning</w:t>
      </w:r>
      <w:r w:rsidR="00D07CE1">
        <w:t xml:space="preserve"> uppnås</w:t>
      </w:r>
      <w:r>
        <w:t xml:space="preserve"> och därmed </w:t>
      </w:r>
      <w:r w:rsidR="004A6FC7">
        <w:t xml:space="preserve">större </w:t>
      </w:r>
      <w:r>
        <w:t>samhällsnyttor​</w:t>
      </w:r>
      <w:r w:rsidR="00D07CE1">
        <w:t>.</w:t>
      </w:r>
    </w:p>
    <w:p w14:paraId="5813D3F7" w14:textId="77777777" w:rsidR="00083764" w:rsidRDefault="00083764" w:rsidP="00083764"/>
    <w:p w14:paraId="609326CB" w14:textId="7FA12720" w:rsidR="00795A1E" w:rsidRDefault="00795A1E" w:rsidP="00795A1E">
      <w:pPr>
        <w:pStyle w:val="Rubrik4"/>
        <w:numPr>
          <w:ilvl w:val="0"/>
          <w:numId w:val="35"/>
        </w:numPr>
      </w:pPr>
      <w:r>
        <w:t>All öpp</w:t>
      </w:r>
      <w:r w:rsidR="00EC75BA">
        <w:t>na</w:t>
      </w:r>
      <w:r>
        <w:t xml:space="preserve"> och delad</w:t>
      </w:r>
      <w:r w:rsidR="00EC75BA">
        <w:t>e</w:t>
      </w:r>
      <w:r>
        <w:t xml:space="preserve"> data kräver aktiv förvaltning och ägandeskap</w:t>
      </w:r>
    </w:p>
    <w:p w14:paraId="0BB78014" w14:textId="1D6ABB7A" w:rsidR="00083764" w:rsidRDefault="00CA18CB" w:rsidP="00795A1E">
      <w:r>
        <w:t>Ö</w:t>
      </w:r>
      <w:r w:rsidR="00083764">
        <w:t xml:space="preserve">ppna data </w:t>
      </w:r>
      <w:r>
        <w:t xml:space="preserve">ska </w:t>
      </w:r>
      <w:r w:rsidR="00083764">
        <w:t xml:space="preserve">inte </w:t>
      </w:r>
      <w:r>
        <w:t xml:space="preserve">vara </w:t>
      </w:r>
      <w:r w:rsidR="00083764">
        <w:t>en engångsföreteelse</w:t>
      </w:r>
      <w:r>
        <w:t xml:space="preserve">. </w:t>
      </w:r>
      <w:r w:rsidR="00D07CE1">
        <w:t>För att uppnå</w:t>
      </w:r>
      <w:r w:rsidR="00083764">
        <w:t xml:space="preserve"> innovation av öppna data så måste den uppdateras, berikas, utvecklas och anpassas efter behov. Ett </w:t>
      </w:r>
      <w:r w:rsidR="00083764">
        <w:lastRenderedPageBreak/>
        <w:t xml:space="preserve">företag kommer inte satsa på att utveckla en tjänst baserat på data </w:t>
      </w:r>
      <w:r w:rsidR="00D07CE1">
        <w:t xml:space="preserve">som inte löpande </w:t>
      </w:r>
      <w:r w:rsidR="00083764">
        <w:t>kommer att uppdateras</w:t>
      </w:r>
      <w:r w:rsidR="00D07CE1">
        <w:t xml:space="preserve"> och d</w:t>
      </w:r>
      <w:r w:rsidR="00083764">
        <w:t xml:space="preserve">å dör innovationspotentialen. Detta innebär att aktiv förvaltning krävs, vilket kräver aktivt ägandeskap, för all data som öppnas </w:t>
      </w:r>
      <w:proofErr w:type="gramStart"/>
      <w:r w:rsidR="00083764">
        <w:t>upp.​</w:t>
      </w:r>
      <w:proofErr w:type="gramEnd"/>
    </w:p>
    <w:p w14:paraId="19B92E79" w14:textId="77777777" w:rsidR="00083764" w:rsidRDefault="00083764" w:rsidP="00083764"/>
    <w:p w14:paraId="0371266F" w14:textId="0332FB4B" w:rsidR="00795A1E" w:rsidRPr="00795A1E" w:rsidRDefault="00795A1E" w:rsidP="00795A1E">
      <w:pPr>
        <w:pStyle w:val="Rubrik4"/>
        <w:numPr>
          <w:ilvl w:val="0"/>
          <w:numId w:val="35"/>
        </w:numPr>
      </w:pPr>
      <w:r w:rsidRPr="00795A1E">
        <w:t xml:space="preserve">All </w:t>
      </w:r>
      <w:r w:rsidR="003179CF">
        <w:t xml:space="preserve">öppna och </w:t>
      </w:r>
      <w:r w:rsidRPr="00795A1E">
        <w:t>delad</w:t>
      </w:r>
      <w:r w:rsidR="003179CF">
        <w:t>e</w:t>
      </w:r>
      <w:r w:rsidRPr="00795A1E">
        <w:t xml:space="preserve"> data har högsta möjliga datakvalitet</w:t>
      </w:r>
    </w:p>
    <w:p w14:paraId="70389C10" w14:textId="2BC256F7" w:rsidR="00083764" w:rsidRDefault="00083764" w:rsidP="00D07CE1">
      <w:r>
        <w:t>Datakvalitet kan definieras på många sätt</w:t>
      </w:r>
      <w:r w:rsidR="00D07CE1">
        <w:t xml:space="preserve">, </w:t>
      </w:r>
      <w:proofErr w:type="spellStart"/>
      <w:proofErr w:type="gramStart"/>
      <w:r w:rsidR="00D07CE1">
        <w:t>t</w:t>
      </w:r>
      <w:r w:rsidR="0003299E">
        <w:t>.</w:t>
      </w:r>
      <w:r w:rsidR="00D07CE1">
        <w:t>ex</w:t>
      </w:r>
      <w:proofErr w:type="spellEnd"/>
      <w:proofErr w:type="gramEnd"/>
      <w:r w:rsidR="00D07CE1">
        <w:t xml:space="preserve"> h</w:t>
      </w:r>
      <w:r>
        <w:t>ur omfattande den är, hur väl den mäter det den avser mäta, hur välbeskriven den är, hur nära ”realtid” den</w:t>
      </w:r>
      <w:r w:rsidR="00D07CE1">
        <w:t xml:space="preserve"> är</w:t>
      </w:r>
      <w:r>
        <w:t xml:space="preserve">, hur många format den delas i, kvaliteten på dess API </w:t>
      </w:r>
      <w:r w:rsidR="006415BF">
        <w:t>etc.</w:t>
      </w:r>
      <w:r>
        <w:t xml:space="preserve"> Princip 2 bör vara vägledande vad gäller kvaliteten som behovsägaren förväntar sig. Detta är en miniminivå. Därefter bör data alltid eftersträva högsta kvalitet</w:t>
      </w:r>
      <w:r w:rsidR="00D07CE1">
        <w:t xml:space="preserve"> vilket</w:t>
      </w:r>
      <w:r>
        <w:t xml:space="preserve"> skapar bäst förutsättningar </w:t>
      </w:r>
      <w:r w:rsidR="006415BF">
        <w:t xml:space="preserve">för </w:t>
      </w:r>
      <w:r>
        <w:t xml:space="preserve">att den används. Om kvaliteten ändå brister, så ska det vara så tydligt beskrivet som </w:t>
      </w:r>
      <w:r w:rsidR="006415BF">
        <w:t xml:space="preserve">det </w:t>
      </w:r>
      <w:r>
        <w:t>går, så att användaren har förutsättningar att bedöma använd</w:t>
      </w:r>
      <w:r w:rsidR="00D07CE1">
        <w:t>barheten.</w:t>
      </w:r>
    </w:p>
    <w:p w14:paraId="46C81649" w14:textId="77777777" w:rsidR="00083764" w:rsidRDefault="00083764" w:rsidP="00083764"/>
    <w:p w14:paraId="0E07D5C2" w14:textId="1F00224F" w:rsidR="00795A1E" w:rsidRDefault="00795A1E" w:rsidP="00795A1E">
      <w:pPr>
        <w:pStyle w:val="Rubrik4"/>
        <w:numPr>
          <w:ilvl w:val="0"/>
          <w:numId w:val="35"/>
        </w:numPr>
      </w:pPr>
      <w:r w:rsidRPr="00795A1E">
        <w:t>Genom aktiv kommunikation uppnås ökad användning och nytta av data</w:t>
      </w:r>
    </w:p>
    <w:p w14:paraId="03FBF97A" w14:textId="060F42CE" w:rsidR="00791E55" w:rsidRDefault="00083764" w:rsidP="00E05105">
      <w:r>
        <w:t xml:space="preserve">Eftersom öppna data idag inte är välkänt hos allmänheten, krävs </w:t>
      </w:r>
      <w:r w:rsidR="00795A1E">
        <w:t>k</w:t>
      </w:r>
      <w:r>
        <w:t>ommunikationsinsatser. Det</w:t>
      </w:r>
      <w:r w:rsidR="00D07CE1">
        <w:t xml:space="preserve"> avser</w:t>
      </w:r>
      <w:r>
        <w:t xml:space="preserve"> dels kommunikation med de specifika behovsägar</w:t>
      </w:r>
      <w:r w:rsidR="00D07CE1">
        <w:t xml:space="preserve">na, </w:t>
      </w:r>
      <w:proofErr w:type="gramStart"/>
      <w:r>
        <w:t>men även</w:t>
      </w:r>
      <w:proofErr w:type="gramEnd"/>
      <w:r>
        <w:t xml:space="preserve"> mer bred kommunikation genom </w:t>
      </w:r>
      <w:r w:rsidR="00D07CE1">
        <w:t xml:space="preserve">flera </w:t>
      </w:r>
      <w:r>
        <w:t xml:space="preserve">olika kanaler. </w:t>
      </w:r>
      <w:r w:rsidR="00246C27">
        <w:t>En</w:t>
      </w:r>
      <w:r w:rsidR="00D07CE1">
        <w:t xml:space="preserve"> </w:t>
      </w:r>
      <w:r>
        <w:t xml:space="preserve">kombination </w:t>
      </w:r>
      <w:r w:rsidR="00246C27">
        <w:t xml:space="preserve">av </w:t>
      </w:r>
      <w:r>
        <w:t>en användarvänlig dataportal, välbeskrivna data och framgångsexempel med påvisade nyttor underlättar att skapa användning.</w:t>
      </w:r>
    </w:p>
    <w:p w14:paraId="3263ECBA" w14:textId="3E7D76D5" w:rsidR="004D6B9A" w:rsidRDefault="004D6B9A" w:rsidP="00E05105"/>
    <w:p w14:paraId="6E44AC5B" w14:textId="4C9283DB" w:rsidR="004D6B9A" w:rsidRDefault="004D6B9A" w:rsidP="004D6B9A">
      <w:pPr>
        <w:pStyle w:val="Rubrik2"/>
      </w:pPr>
      <w:r>
        <w:t>Budget</w:t>
      </w:r>
    </w:p>
    <w:p w14:paraId="5B45D1BE" w14:textId="3BB6A2E4" w:rsidR="005A761F" w:rsidRPr="004D6B9A" w:rsidRDefault="004D6B9A" w:rsidP="004D6B9A">
      <w:pPr>
        <w:rPr>
          <w:i/>
          <w:iCs/>
        </w:rPr>
      </w:pPr>
      <w:r w:rsidRPr="004D6B9A">
        <w:rPr>
          <w:i/>
          <w:iCs/>
        </w:rPr>
        <w:t>[För att säkerställa att arbetet får prioritet bör en budget, om än liten</w:t>
      </w:r>
      <w:r>
        <w:rPr>
          <w:i/>
          <w:iCs/>
        </w:rPr>
        <w:t>,</w:t>
      </w:r>
      <w:r w:rsidRPr="004D6B9A">
        <w:rPr>
          <w:i/>
          <w:iCs/>
        </w:rPr>
        <w:t xml:space="preserve"> anges i beslutsunderlaget</w:t>
      </w:r>
      <w:r>
        <w:rPr>
          <w:i/>
          <w:iCs/>
        </w:rPr>
        <w:t xml:space="preserve">, Lämplig nivå på budget bör täcka en samordnares roll ca </w:t>
      </w:r>
      <w:proofErr w:type="gramStart"/>
      <w:r>
        <w:rPr>
          <w:i/>
          <w:iCs/>
        </w:rPr>
        <w:t>5-15</w:t>
      </w:r>
      <w:proofErr w:type="gramEnd"/>
      <w:r>
        <w:rPr>
          <w:i/>
          <w:iCs/>
        </w:rPr>
        <w:t xml:space="preserve"> procent, samt medel för anskaffande av en portallösning för publicering ca 50-60 tkr/år</w:t>
      </w:r>
      <w:r w:rsidRPr="004D6B9A">
        <w:rPr>
          <w:i/>
          <w:iCs/>
        </w:rPr>
        <w:t>]</w:t>
      </w:r>
    </w:p>
    <w:sectPr w:rsidR="005A761F" w:rsidRPr="004D6B9A" w:rsidSect="00BA49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49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A323" w14:textId="77777777" w:rsidR="00E51DA2" w:rsidRDefault="00E51DA2" w:rsidP="00025EFE">
      <w:r>
        <w:separator/>
      </w:r>
    </w:p>
  </w:endnote>
  <w:endnote w:type="continuationSeparator" w:id="0">
    <w:p w14:paraId="71D3F392" w14:textId="77777777" w:rsidR="00E51DA2" w:rsidRDefault="00E51DA2" w:rsidP="00025EFE">
      <w:r>
        <w:continuationSeparator/>
      </w:r>
    </w:p>
  </w:endnote>
  <w:endnote w:type="continuationNotice" w:id="1">
    <w:p w14:paraId="48F33B8C" w14:textId="77777777" w:rsidR="00E51DA2" w:rsidRDefault="00E51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7390" w14:textId="77777777" w:rsidR="00680685" w:rsidRDefault="006806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9B24" w14:textId="77777777" w:rsidR="00680685" w:rsidRDefault="006806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8230" w14:textId="3B0357D5" w:rsidR="00BA49FF" w:rsidRDefault="00D865D9" w:rsidP="00680685">
    <w:pPr>
      <w:pStyle w:val="Sidfot"/>
      <w:tabs>
        <w:tab w:val="clear" w:pos="4536"/>
        <w:tab w:val="clear" w:pos="9072"/>
        <w:tab w:val="left" w:pos="1680"/>
      </w:tabs>
    </w:pPr>
    <w:bookmarkStart w:id="5" w:name="_GoBack"/>
    <w:r w:rsidRPr="00224E61">
      <w:rPr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6283B0D0" wp14:editId="038C29A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9520" cy="4270248"/>
          <wp:effectExtent l="0" t="0" r="0" b="0"/>
          <wp:wrapNone/>
          <wp:docPr id="2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4270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BA49FF" w:rsidRPr="00224E61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C5DF328" wp14:editId="4FF183FF">
          <wp:simplePos x="0" y="0"/>
          <wp:positionH relativeFrom="page">
            <wp:posOffset>899795</wp:posOffset>
          </wp:positionH>
          <wp:positionV relativeFrom="page">
            <wp:posOffset>10068560</wp:posOffset>
          </wp:positionV>
          <wp:extent cx="7589520" cy="4270248"/>
          <wp:effectExtent l="0" t="0" r="0" b="0"/>
          <wp:wrapNone/>
          <wp:docPr id="2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4270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68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3CBC" w14:textId="77777777" w:rsidR="00E51DA2" w:rsidRDefault="00E51DA2" w:rsidP="00025EFE">
      <w:r>
        <w:separator/>
      </w:r>
    </w:p>
  </w:footnote>
  <w:footnote w:type="continuationSeparator" w:id="0">
    <w:p w14:paraId="08B95412" w14:textId="77777777" w:rsidR="00E51DA2" w:rsidRDefault="00E51DA2" w:rsidP="00025EFE">
      <w:r>
        <w:continuationSeparator/>
      </w:r>
    </w:p>
  </w:footnote>
  <w:footnote w:type="continuationNotice" w:id="1">
    <w:p w14:paraId="10BAF3DA" w14:textId="77777777" w:rsidR="00E51DA2" w:rsidRDefault="00E51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5A1F" w14:textId="77777777" w:rsidR="00680685" w:rsidRDefault="006806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A5DEF" w14:textId="6B1C342F" w:rsidR="008A57FB" w:rsidRDefault="008A57FB">
    <w:pPr>
      <w:pStyle w:val="Sidhuvud"/>
    </w:pPr>
    <w:r>
      <w:rPr>
        <w:rStyle w:val="normaltextrun"/>
        <w:rFonts w:ascii="Arial" w:hAnsi="Arial" w:cs="Arial"/>
        <w:color w:val="92004A"/>
        <w:sz w:val="26"/>
        <w:szCs w:val="26"/>
        <w:bdr w:val="none" w:sz="0" w:space="0" w:color="auto" w:frame="1"/>
      </w:rPr>
      <w:t>Arbetsdokument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5FFE" w14:textId="77777777" w:rsidR="00680685" w:rsidRDefault="006806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6CF"/>
    <w:multiLevelType w:val="hybridMultilevel"/>
    <w:tmpl w:val="1C1C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619"/>
    <w:multiLevelType w:val="hybridMultilevel"/>
    <w:tmpl w:val="03960B9C"/>
    <w:lvl w:ilvl="0" w:tplc="CCD47F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DE6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6B9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7C60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5E8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E03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FC86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4AA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43D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3F44727"/>
    <w:multiLevelType w:val="hybridMultilevel"/>
    <w:tmpl w:val="1804D6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2169"/>
    <w:multiLevelType w:val="hybridMultilevel"/>
    <w:tmpl w:val="D45ECC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83BE9"/>
    <w:multiLevelType w:val="hybridMultilevel"/>
    <w:tmpl w:val="8BD26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81256"/>
    <w:multiLevelType w:val="hybridMultilevel"/>
    <w:tmpl w:val="2236B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93690"/>
    <w:multiLevelType w:val="hybridMultilevel"/>
    <w:tmpl w:val="BDB415AE"/>
    <w:lvl w:ilvl="0" w:tplc="206C40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6C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E8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1663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2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4C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42F8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AEF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8C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5C840E6"/>
    <w:multiLevelType w:val="hybridMultilevel"/>
    <w:tmpl w:val="08EA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2888"/>
    <w:multiLevelType w:val="hybridMultilevel"/>
    <w:tmpl w:val="6508538E"/>
    <w:lvl w:ilvl="0" w:tplc="033E9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188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E57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67B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3C7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A1E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52E4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C6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C1E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1C260AC7"/>
    <w:multiLevelType w:val="hybridMultilevel"/>
    <w:tmpl w:val="4C12D90E"/>
    <w:lvl w:ilvl="0" w:tplc="69C643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A2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0B6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0A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FC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09E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1865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12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B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C8975BE"/>
    <w:multiLevelType w:val="hybridMultilevel"/>
    <w:tmpl w:val="ABCE6DC4"/>
    <w:lvl w:ilvl="0" w:tplc="638A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DC7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506D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203D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66E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8D7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5CE0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685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0400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1EB7C78"/>
    <w:multiLevelType w:val="hybridMultilevel"/>
    <w:tmpl w:val="BACE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775C7"/>
    <w:multiLevelType w:val="hybridMultilevel"/>
    <w:tmpl w:val="4A86676A"/>
    <w:lvl w:ilvl="0" w:tplc="EF0E9D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0A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CD9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46D0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62C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0231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7241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B4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CEC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56837B7"/>
    <w:multiLevelType w:val="hybridMultilevel"/>
    <w:tmpl w:val="4DD43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959"/>
    <w:multiLevelType w:val="hybridMultilevel"/>
    <w:tmpl w:val="82880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2364B"/>
    <w:multiLevelType w:val="hybridMultilevel"/>
    <w:tmpl w:val="BED6C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4707B"/>
    <w:multiLevelType w:val="hybridMultilevel"/>
    <w:tmpl w:val="02748C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1ACF"/>
    <w:multiLevelType w:val="hybridMultilevel"/>
    <w:tmpl w:val="7302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C63D6"/>
    <w:multiLevelType w:val="hybridMultilevel"/>
    <w:tmpl w:val="94C0F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66D2"/>
    <w:multiLevelType w:val="hybridMultilevel"/>
    <w:tmpl w:val="9E0E29C8"/>
    <w:lvl w:ilvl="0" w:tplc="306E6B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A78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455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2E5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C8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EA5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6AD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AAA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8F1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F51A8"/>
    <w:multiLevelType w:val="hybridMultilevel"/>
    <w:tmpl w:val="9B9A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74A7A"/>
    <w:multiLevelType w:val="hybridMultilevel"/>
    <w:tmpl w:val="E1E23894"/>
    <w:lvl w:ilvl="0" w:tplc="DB5C0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4F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24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21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AB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63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D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3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4B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B16D8"/>
    <w:multiLevelType w:val="hybridMultilevel"/>
    <w:tmpl w:val="39469110"/>
    <w:lvl w:ilvl="0" w:tplc="8F60F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0C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CA9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8871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CE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E23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695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A8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3E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B1644FA"/>
    <w:multiLevelType w:val="hybridMultilevel"/>
    <w:tmpl w:val="2FD0B53A"/>
    <w:lvl w:ilvl="0" w:tplc="C5A267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131"/>
    <w:multiLevelType w:val="hybridMultilevel"/>
    <w:tmpl w:val="B6542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62A97"/>
    <w:multiLevelType w:val="hybridMultilevel"/>
    <w:tmpl w:val="42AADB3C"/>
    <w:lvl w:ilvl="0" w:tplc="289687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EE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2A0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88F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388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7E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AA0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120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61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B3E2BB0"/>
    <w:multiLevelType w:val="hybridMultilevel"/>
    <w:tmpl w:val="844E2FD0"/>
    <w:lvl w:ilvl="0" w:tplc="9BAA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63B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C8C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209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EE8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70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23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46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454FE"/>
    <w:multiLevelType w:val="hybridMultilevel"/>
    <w:tmpl w:val="DE10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2DA4"/>
    <w:multiLevelType w:val="hybridMultilevel"/>
    <w:tmpl w:val="10A2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64193"/>
    <w:multiLevelType w:val="hybridMultilevel"/>
    <w:tmpl w:val="B38EF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60A60"/>
    <w:multiLevelType w:val="hybridMultilevel"/>
    <w:tmpl w:val="5F441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11A1C"/>
    <w:multiLevelType w:val="hybridMultilevel"/>
    <w:tmpl w:val="CF3CB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C6E6D"/>
    <w:multiLevelType w:val="hybridMultilevel"/>
    <w:tmpl w:val="2F041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7B2B"/>
    <w:multiLevelType w:val="hybridMultilevel"/>
    <w:tmpl w:val="C2388268"/>
    <w:lvl w:ilvl="0" w:tplc="61F8CF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44F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835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1218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1CD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F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EEE1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8E7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4E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73832CD7"/>
    <w:multiLevelType w:val="hybridMultilevel"/>
    <w:tmpl w:val="D078114A"/>
    <w:lvl w:ilvl="0" w:tplc="9B26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46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C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FE15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C48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EE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7C7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D60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C2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C3E35FD"/>
    <w:multiLevelType w:val="hybridMultilevel"/>
    <w:tmpl w:val="EF1C9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228DA"/>
    <w:multiLevelType w:val="hybridMultilevel"/>
    <w:tmpl w:val="E272B9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6"/>
  </w:num>
  <w:num w:numId="4">
    <w:abstractNumId w:val="2"/>
  </w:num>
  <w:num w:numId="5">
    <w:abstractNumId w:val="35"/>
  </w:num>
  <w:num w:numId="6">
    <w:abstractNumId w:val="15"/>
  </w:num>
  <w:num w:numId="7">
    <w:abstractNumId w:val="31"/>
  </w:num>
  <w:num w:numId="8">
    <w:abstractNumId w:val="5"/>
  </w:num>
  <w:num w:numId="9">
    <w:abstractNumId w:val="14"/>
  </w:num>
  <w:num w:numId="10">
    <w:abstractNumId w:val="4"/>
  </w:num>
  <w:num w:numId="11">
    <w:abstractNumId w:val="29"/>
  </w:num>
  <w:num w:numId="12">
    <w:abstractNumId w:val="11"/>
  </w:num>
  <w:num w:numId="13">
    <w:abstractNumId w:val="32"/>
  </w:num>
  <w:num w:numId="14">
    <w:abstractNumId w:val="24"/>
  </w:num>
  <w:num w:numId="15">
    <w:abstractNumId w:val="12"/>
  </w:num>
  <w:num w:numId="16">
    <w:abstractNumId w:val="6"/>
  </w:num>
  <w:num w:numId="17">
    <w:abstractNumId w:val="9"/>
  </w:num>
  <w:num w:numId="18">
    <w:abstractNumId w:val="25"/>
  </w:num>
  <w:num w:numId="19">
    <w:abstractNumId w:val="1"/>
  </w:num>
  <w:num w:numId="20">
    <w:abstractNumId w:val="22"/>
  </w:num>
  <w:num w:numId="21">
    <w:abstractNumId w:val="8"/>
  </w:num>
  <w:num w:numId="22">
    <w:abstractNumId w:val="10"/>
  </w:num>
  <w:num w:numId="23">
    <w:abstractNumId w:val="34"/>
  </w:num>
  <w:num w:numId="24">
    <w:abstractNumId w:val="33"/>
  </w:num>
  <w:num w:numId="25">
    <w:abstractNumId w:val="13"/>
  </w:num>
  <w:num w:numId="26">
    <w:abstractNumId w:val="19"/>
  </w:num>
  <w:num w:numId="27">
    <w:abstractNumId w:val="26"/>
  </w:num>
  <w:num w:numId="28">
    <w:abstractNumId w:val="3"/>
  </w:num>
  <w:num w:numId="29">
    <w:abstractNumId w:val="16"/>
  </w:num>
  <w:num w:numId="30">
    <w:abstractNumId w:val="20"/>
  </w:num>
  <w:num w:numId="31">
    <w:abstractNumId w:val="0"/>
  </w:num>
  <w:num w:numId="32">
    <w:abstractNumId w:val="17"/>
  </w:num>
  <w:num w:numId="33">
    <w:abstractNumId w:val="7"/>
  </w:num>
  <w:num w:numId="34">
    <w:abstractNumId w:val="28"/>
  </w:num>
  <w:num w:numId="35">
    <w:abstractNumId w:val="30"/>
  </w:num>
  <w:num w:numId="36">
    <w:abstractNumId w:val="2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7D"/>
    <w:rsid w:val="00001B61"/>
    <w:rsid w:val="00001ED3"/>
    <w:rsid w:val="00006A95"/>
    <w:rsid w:val="00013946"/>
    <w:rsid w:val="0001429F"/>
    <w:rsid w:val="00015DDB"/>
    <w:rsid w:val="000200FB"/>
    <w:rsid w:val="00025961"/>
    <w:rsid w:val="00025EFE"/>
    <w:rsid w:val="00030E08"/>
    <w:rsid w:val="0003299E"/>
    <w:rsid w:val="000337FE"/>
    <w:rsid w:val="000378DD"/>
    <w:rsid w:val="00040B28"/>
    <w:rsid w:val="00041EE5"/>
    <w:rsid w:val="00043B36"/>
    <w:rsid w:val="00065623"/>
    <w:rsid w:val="000720DA"/>
    <w:rsid w:val="000747AE"/>
    <w:rsid w:val="00076BA2"/>
    <w:rsid w:val="000810F2"/>
    <w:rsid w:val="00083764"/>
    <w:rsid w:val="0008591B"/>
    <w:rsid w:val="000940AB"/>
    <w:rsid w:val="000A0475"/>
    <w:rsid w:val="000A5FC0"/>
    <w:rsid w:val="000A6700"/>
    <w:rsid w:val="000A7893"/>
    <w:rsid w:val="000A79A2"/>
    <w:rsid w:val="000B05FE"/>
    <w:rsid w:val="000B25E6"/>
    <w:rsid w:val="000B2A6E"/>
    <w:rsid w:val="000C12DE"/>
    <w:rsid w:val="000E0D02"/>
    <w:rsid w:val="000E39BB"/>
    <w:rsid w:val="000E3C76"/>
    <w:rsid w:val="000E4911"/>
    <w:rsid w:val="000E6BD9"/>
    <w:rsid w:val="000F42D1"/>
    <w:rsid w:val="00100F86"/>
    <w:rsid w:val="0010328F"/>
    <w:rsid w:val="00103FC7"/>
    <w:rsid w:val="00104AD1"/>
    <w:rsid w:val="00104FA7"/>
    <w:rsid w:val="00111691"/>
    <w:rsid w:val="001145FF"/>
    <w:rsid w:val="00122B9C"/>
    <w:rsid w:val="00122CC1"/>
    <w:rsid w:val="00123370"/>
    <w:rsid w:val="00125364"/>
    <w:rsid w:val="00127427"/>
    <w:rsid w:val="001330D5"/>
    <w:rsid w:val="0013422D"/>
    <w:rsid w:val="001346C3"/>
    <w:rsid w:val="00134C7E"/>
    <w:rsid w:val="001369DD"/>
    <w:rsid w:val="00136BCE"/>
    <w:rsid w:val="00141B51"/>
    <w:rsid w:val="001464A4"/>
    <w:rsid w:val="0015172C"/>
    <w:rsid w:val="001518DE"/>
    <w:rsid w:val="00167AB2"/>
    <w:rsid w:val="001725A1"/>
    <w:rsid w:val="0018300A"/>
    <w:rsid w:val="00184A5F"/>
    <w:rsid w:val="001859EC"/>
    <w:rsid w:val="00192712"/>
    <w:rsid w:val="00192B95"/>
    <w:rsid w:val="001A32E0"/>
    <w:rsid w:val="001A50D6"/>
    <w:rsid w:val="001B1603"/>
    <w:rsid w:val="001B4C9D"/>
    <w:rsid w:val="001B7D79"/>
    <w:rsid w:val="001D5B5C"/>
    <w:rsid w:val="001D5C47"/>
    <w:rsid w:val="001E099C"/>
    <w:rsid w:val="001E4B47"/>
    <w:rsid w:val="001E7086"/>
    <w:rsid w:val="001F35CC"/>
    <w:rsid w:val="002006BA"/>
    <w:rsid w:val="002031C8"/>
    <w:rsid w:val="0020736A"/>
    <w:rsid w:val="00210D20"/>
    <w:rsid w:val="002121AA"/>
    <w:rsid w:val="002158A3"/>
    <w:rsid w:val="002161D5"/>
    <w:rsid w:val="00216204"/>
    <w:rsid w:val="00224E61"/>
    <w:rsid w:val="00231054"/>
    <w:rsid w:val="002328CB"/>
    <w:rsid w:val="00233028"/>
    <w:rsid w:val="00233B12"/>
    <w:rsid w:val="0024531B"/>
    <w:rsid w:val="00246C27"/>
    <w:rsid w:val="00246E9C"/>
    <w:rsid w:val="00250F89"/>
    <w:rsid w:val="00255E20"/>
    <w:rsid w:val="00256FC5"/>
    <w:rsid w:val="00260289"/>
    <w:rsid w:val="0026525D"/>
    <w:rsid w:val="00266377"/>
    <w:rsid w:val="00273E3E"/>
    <w:rsid w:val="00280413"/>
    <w:rsid w:val="0028626A"/>
    <w:rsid w:val="00293097"/>
    <w:rsid w:val="00296FF1"/>
    <w:rsid w:val="002A4221"/>
    <w:rsid w:val="002A56BD"/>
    <w:rsid w:val="002A5B8D"/>
    <w:rsid w:val="002A7FF5"/>
    <w:rsid w:val="002B0A00"/>
    <w:rsid w:val="002B5F04"/>
    <w:rsid w:val="002B63B0"/>
    <w:rsid w:val="002B6C15"/>
    <w:rsid w:val="002C2A8F"/>
    <w:rsid w:val="002C5BBD"/>
    <w:rsid w:val="002D14A9"/>
    <w:rsid w:val="002D1BEB"/>
    <w:rsid w:val="002D2B91"/>
    <w:rsid w:val="002D335C"/>
    <w:rsid w:val="002E26DF"/>
    <w:rsid w:val="002E3C6D"/>
    <w:rsid w:val="002F10E5"/>
    <w:rsid w:val="003007D6"/>
    <w:rsid w:val="00300B16"/>
    <w:rsid w:val="00304FA3"/>
    <w:rsid w:val="00314D61"/>
    <w:rsid w:val="00314DD0"/>
    <w:rsid w:val="003179CF"/>
    <w:rsid w:val="00322BEA"/>
    <w:rsid w:val="003263C0"/>
    <w:rsid w:val="00332701"/>
    <w:rsid w:val="003335C7"/>
    <w:rsid w:val="00341D0B"/>
    <w:rsid w:val="00342109"/>
    <w:rsid w:val="00345798"/>
    <w:rsid w:val="0035311B"/>
    <w:rsid w:val="0036751D"/>
    <w:rsid w:val="00382143"/>
    <w:rsid w:val="00397851"/>
    <w:rsid w:val="003A0C6B"/>
    <w:rsid w:val="003A2FE9"/>
    <w:rsid w:val="003C7ED3"/>
    <w:rsid w:val="003D0986"/>
    <w:rsid w:val="003D1E11"/>
    <w:rsid w:val="003E4BAA"/>
    <w:rsid w:val="003E545F"/>
    <w:rsid w:val="003E7289"/>
    <w:rsid w:val="003F5E26"/>
    <w:rsid w:val="003F645A"/>
    <w:rsid w:val="00401A5D"/>
    <w:rsid w:val="004020CE"/>
    <w:rsid w:val="00402D6B"/>
    <w:rsid w:val="00406E3C"/>
    <w:rsid w:val="004077EA"/>
    <w:rsid w:val="0041179E"/>
    <w:rsid w:val="004149BB"/>
    <w:rsid w:val="004167EE"/>
    <w:rsid w:val="004200DB"/>
    <w:rsid w:val="00421113"/>
    <w:rsid w:val="00422296"/>
    <w:rsid w:val="00422D04"/>
    <w:rsid w:val="00424299"/>
    <w:rsid w:val="00425F67"/>
    <w:rsid w:val="00436D30"/>
    <w:rsid w:val="00446724"/>
    <w:rsid w:val="00451981"/>
    <w:rsid w:val="004547B3"/>
    <w:rsid w:val="00455548"/>
    <w:rsid w:val="00456E47"/>
    <w:rsid w:val="0046468C"/>
    <w:rsid w:val="004726EC"/>
    <w:rsid w:val="004763F6"/>
    <w:rsid w:val="00477738"/>
    <w:rsid w:val="0048226A"/>
    <w:rsid w:val="00493C12"/>
    <w:rsid w:val="004959D3"/>
    <w:rsid w:val="004962E6"/>
    <w:rsid w:val="00496B2D"/>
    <w:rsid w:val="0049779F"/>
    <w:rsid w:val="00497925"/>
    <w:rsid w:val="004A1D45"/>
    <w:rsid w:val="004A5DC0"/>
    <w:rsid w:val="004A6FC7"/>
    <w:rsid w:val="004B0FFE"/>
    <w:rsid w:val="004B7A0A"/>
    <w:rsid w:val="004C201E"/>
    <w:rsid w:val="004C4CF2"/>
    <w:rsid w:val="004C6589"/>
    <w:rsid w:val="004D081D"/>
    <w:rsid w:val="004D4D12"/>
    <w:rsid w:val="004D64D4"/>
    <w:rsid w:val="004D6B9A"/>
    <w:rsid w:val="004E1B56"/>
    <w:rsid w:val="004E28E5"/>
    <w:rsid w:val="004E5520"/>
    <w:rsid w:val="004E5A49"/>
    <w:rsid w:val="004F0BBB"/>
    <w:rsid w:val="004F2455"/>
    <w:rsid w:val="004F47C4"/>
    <w:rsid w:val="004F4806"/>
    <w:rsid w:val="004F65A8"/>
    <w:rsid w:val="004F7CF8"/>
    <w:rsid w:val="00500844"/>
    <w:rsid w:val="00507048"/>
    <w:rsid w:val="005074DC"/>
    <w:rsid w:val="005115F4"/>
    <w:rsid w:val="0052452B"/>
    <w:rsid w:val="005249B1"/>
    <w:rsid w:val="00537925"/>
    <w:rsid w:val="00542E08"/>
    <w:rsid w:val="00551E7E"/>
    <w:rsid w:val="0055625F"/>
    <w:rsid w:val="00562F70"/>
    <w:rsid w:val="0056389B"/>
    <w:rsid w:val="00564842"/>
    <w:rsid w:val="00574DC7"/>
    <w:rsid w:val="00576D68"/>
    <w:rsid w:val="0057713C"/>
    <w:rsid w:val="00581627"/>
    <w:rsid w:val="005821A9"/>
    <w:rsid w:val="005956F5"/>
    <w:rsid w:val="00596704"/>
    <w:rsid w:val="005A0DC3"/>
    <w:rsid w:val="005A550F"/>
    <w:rsid w:val="005A598C"/>
    <w:rsid w:val="005A5C5F"/>
    <w:rsid w:val="005A761F"/>
    <w:rsid w:val="005B74BA"/>
    <w:rsid w:val="005C50AC"/>
    <w:rsid w:val="005C6037"/>
    <w:rsid w:val="005D12DF"/>
    <w:rsid w:val="005D5082"/>
    <w:rsid w:val="005D674B"/>
    <w:rsid w:val="005E644F"/>
    <w:rsid w:val="005E733B"/>
    <w:rsid w:val="005F305D"/>
    <w:rsid w:val="005F492C"/>
    <w:rsid w:val="005F4C26"/>
    <w:rsid w:val="005F67D1"/>
    <w:rsid w:val="006019EB"/>
    <w:rsid w:val="00601CCE"/>
    <w:rsid w:val="00602793"/>
    <w:rsid w:val="00604091"/>
    <w:rsid w:val="0061004D"/>
    <w:rsid w:val="00611CC2"/>
    <w:rsid w:val="00614319"/>
    <w:rsid w:val="00614400"/>
    <w:rsid w:val="00614DFE"/>
    <w:rsid w:val="0061747D"/>
    <w:rsid w:val="006208B2"/>
    <w:rsid w:val="00622885"/>
    <w:rsid w:val="006263C2"/>
    <w:rsid w:val="00630093"/>
    <w:rsid w:val="006300C2"/>
    <w:rsid w:val="00636956"/>
    <w:rsid w:val="00637A13"/>
    <w:rsid w:val="00637E62"/>
    <w:rsid w:val="00640B6E"/>
    <w:rsid w:val="006415BF"/>
    <w:rsid w:val="00650ECF"/>
    <w:rsid w:val="00653774"/>
    <w:rsid w:val="00654584"/>
    <w:rsid w:val="006625A7"/>
    <w:rsid w:val="006629DD"/>
    <w:rsid w:val="00663FC1"/>
    <w:rsid w:val="006740AA"/>
    <w:rsid w:val="00675B5C"/>
    <w:rsid w:val="0067743D"/>
    <w:rsid w:val="00680685"/>
    <w:rsid w:val="00686000"/>
    <w:rsid w:val="006947EB"/>
    <w:rsid w:val="006A1A89"/>
    <w:rsid w:val="006A50EF"/>
    <w:rsid w:val="006B21F3"/>
    <w:rsid w:val="006B398F"/>
    <w:rsid w:val="006B62AA"/>
    <w:rsid w:val="006C4853"/>
    <w:rsid w:val="006D1A46"/>
    <w:rsid w:val="006D68D3"/>
    <w:rsid w:val="006E0671"/>
    <w:rsid w:val="006E1212"/>
    <w:rsid w:val="006E1E29"/>
    <w:rsid w:val="006E3BB3"/>
    <w:rsid w:val="006E4FE9"/>
    <w:rsid w:val="00702E65"/>
    <w:rsid w:val="007031B8"/>
    <w:rsid w:val="00706D03"/>
    <w:rsid w:val="007116F1"/>
    <w:rsid w:val="007141F4"/>
    <w:rsid w:val="00722DBC"/>
    <w:rsid w:val="007337B6"/>
    <w:rsid w:val="007337E1"/>
    <w:rsid w:val="007352EE"/>
    <w:rsid w:val="00735B68"/>
    <w:rsid w:val="00736C19"/>
    <w:rsid w:val="00740312"/>
    <w:rsid w:val="00750187"/>
    <w:rsid w:val="00751154"/>
    <w:rsid w:val="00753038"/>
    <w:rsid w:val="00756A19"/>
    <w:rsid w:val="00760C51"/>
    <w:rsid w:val="00762D2A"/>
    <w:rsid w:val="007638AB"/>
    <w:rsid w:val="0076471F"/>
    <w:rsid w:val="007653EE"/>
    <w:rsid w:val="00773168"/>
    <w:rsid w:val="007731C9"/>
    <w:rsid w:val="00773D14"/>
    <w:rsid w:val="007754B4"/>
    <w:rsid w:val="00775EBC"/>
    <w:rsid w:val="00780479"/>
    <w:rsid w:val="00780637"/>
    <w:rsid w:val="00791E55"/>
    <w:rsid w:val="00794696"/>
    <w:rsid w:val="00795A1E"/>
    <w:rsid w:val="00796DA6"/>
    <w:rsid w:val="007A1AB2"/>
    <w:rsid w:val="007B1527"/>
    <w:rsid w:val="007B3DF4"/>
    <w:rsid w:val="007B56FE"/>
    <w:rsid w:val="007B707F"/>
    <w:rsid w:val="007B720B"/>
    <w:rsid w:val="007C0E6A"/>
    <w:rsid w:val="007C1207"/>
    <w:rsid w:val="007C2837"/>
    <w:rsid w:val="007D0644"/>
    <w:rsid w:val="007D0956"/>
    <w:rsid w:val="007D210E"/>
    <w:rsid w:val="007D29F1"/>
    <w:rsid w:val="007D7BBF"/>
    <w:rsid w:val="007E07F8"/>
    <w:rsid w:val="007E28EF"/>
    <w:rsid w:val="007E2A80"/>
    <w:rsid w:val="007F280D"/>
    <w:rsid w:val="00801DC1"/>
    <w:rsid w:val="0081125E"/>
    <w:rsid w:val="00817EB1"/>
    <w:rsid w:val="00821BF4"/>
    <w:rsid w:val="0082482D"/>
    <w:rsid w:val="00826A12"/>
    <w:rsid w:val="008273BB"/>
    <w:rsid w:val="00836958"/>
    <w:rsid w:val="008428B2"/>
    <w:rsid w:val="0084656E"/>
    <w:rsid w:val="00851022"/>
    <w:rsid w:val="00851AF7"/>
    <w:rsid w:val="00860015"/>
    <w:rsid w:val="008647D6"/>
    <w:rsid w:val="008727FD"/>
    <w:rsid w:val="00872F4E"/>
    <w:rsid w:val="00874855"/>
    <w:rsid w:val="00875704"/>
    <w:rsid w:val="00891E52"/>
    <w:rsid w:val="008922F3"/>
    <w:rsid w:val="00892E7E"/>
    <w:rsid w:val="00896842"/>
    <w:rsid w:val="008A25B4"/>
    <w:rsid w:val="008A294C"/>
    <w:rsid w:val="008A57FB"/>
    <w:rsid w:val="008B1841"/>
    <w:rsid w:val="008B1C2A"/>
    <w:rsid w:val="008B1D9F"/>
    <w:rsid w:val="008B24FF"/>
    <w:rsid w:val="008C13E7"/>
    <w:rsid w:val="008C5B3B"/>
    <w:rsid w:val="008D09BD"/>
    <w:rsid w:val="008D4CF5"/>
    <w:rsid w:val="008D6331"/>
    <w:rsid w:val="008D676C"/>
    <w:rsid w:val="008E55C5"/>
    <w:rsid w:val="008E57A9"/>
    <w:rsid w:val="008E7E68"/>
    <w:rsid w:val="008F1B0B"/>
    <w:rsid w:val="008F3D11"/>
    <w:rsid w:val="008F4B2E"/>
    <w:rsid w:val="008F62B8"/>
    <w:rsid w:val="009054DF"/>
    <w:rsid w:val="00910CB4"/>
    <w:rsid w:val="0091284B"/>
    <w:rsid w:val="009135ED"/>
    <w:rsid w:val="00914FBD"/>
    <w:rsid w:val="00916076"/>
    <w:rsid w:val="009164B2"/>
    <w:rsid w:val="00921775"/>
    <w:rsid w:val="0092391C"/>
    <w:rsid w:val="00923CA0"/>
    <w:rsid w:val="0092467A"/>
    <w:rsid w:val="00925464"/>
    <w:rsid w:val="00932D4E"/>
    <w:rsid w:val="00937867"/>
    <w:rsid w:val="00946EFA"/>
    <w:rsid w:val="0094733D"/>
    <w:rsid w:val="0095488E"/>
    <w:rsid w:val="00955760"/>
    <w:rsid w:val="00955B01"/>
    <w:rsid w:val="00957466"/>
    <w:rsid w:val="0096106A"/>
    <w:rsid w:val="00963064"/>
    <w:rsid w:val="00963B1A"/>
    <w:rsid w:val="00963C9C"/>
    <w:rsid w:val="009646B4"/>
    <w:rsid w:val="00972CB4"/>
    <w:rsid w:val="00972E63"/>
    <w:rsid w:val="009757A0"/>
    <w:rsid w:val="00981BFA"/>
    <w:rsid w:val="009901E4"/>
    <w:rsid w:val="00990E60"/>
    <w:rsid w:val="009A1B44"/>
    <w:rsid w:val="009A40E2"/>
    <w:rsid w:val="009A77ED"/>
    <w:rsid w:val="009B3A74"/>
    <w:rsid w:val="009B3EDE"/>
    <w:rsid w:val="009B5492"/>
    <w:rsid w:val="009B6F60"/>
    <w:rsid w:val="009C2D28"/>
    <w:rsid w:val="009C5C43"/>
    <w:rsid w:val="009D7E4F"/>
    <w:rsid w:val="009E2A50"/>
    <w:rsid w:val="009E31E8"/>
    <w:rsid w:val="009E4B77"/>
    <w:rsid w:val="009E5613"/>
    <w:rsid w:val="009E570A"/>
    <w:rsid w:val="009F355B"/>
    <w:rsid w:val="009F63A4"/>
    <w:rsid w:val="00A03013"/>
    <w:rsid w:val="00A04988"/>
    <w:rsid w:val="00A05296"/>
    <w:rsid w:val="00A073BA"/>
    <w:rsid w:val="00A11934"/>
    <w:rsid w:val="00A12FB6"/>
    <w:rsid w:val="00A15235"/>
    <w:rsid w:val="00A169C3"/>
    <w:rsid w:val="00A24540"/>
    <w:rsid w:val="00A24B69"/>
    <w:rsid w:val="00A25D2B"/>
    <w:rsid w:val="00A26735"/>
    <w:rsid w:val="00A2788F"/>
    <w:rsid w:val="00A32849"/>
    <w:rsid w:val="00A33612"/>
    <w:rsid w:val="00A440CA"/>
    <w:rsid w:val="00A44A99"/>
    <w:rsid w:val="00A476F0"/>
    <w:rsid w:val="00A6476B"/>
    <w:rsid w:val="00A66519"/>
    <w:rsid w:val="00A67467"/>
    <w:rsid w:val="00A6787E"/>
    <w:rsid w:val="00A70F18"/>
    <w:rsid w:val="00A71CFF"/>
    <w:rsid w:val="00A760BA"/>
    <w:rsid w:val="00A83EC4"/>
    <w:rsid w:val="00A92A7D"/>
    <w:rsid w:val="00A9695A"/>
    <w:rsid w:val="00AA56BC"/>
    <w:rsid w:val="00AA65E4"/>
    <w:rsid w:val="00AB0DD1"/>
    <w:rsid w:val="00AB2CC0"/>
    <w:rsid w:val="00AB3E1D"/>
    <w:rsid w:val="00AC02B8"/>
    <w:rsid w:val="00AC1D2D"/>
    <w:rsid w:val="00AD0207"/>
    <w:rsid w:val="00AD2808"/>
    <w:rsid w:val="00AD325F"/>
    <w:rsid w:val="00AE6783"/>
    <w:rsid w:val="00AF21DC"/>
    <w:rsid w:val="00AF355E"/>
    <w:rsid w:val="00AF4653"/>
    <w:rsid w:val="00AF5270"/>
    <w:rsid w:val="00AF5685"/>
    <w:rsid w:val="00B140A5"/>
    <w:rsid w:val="00B15952"/>
    <w:rsid w:val="00B16D79"/>
    <w:rsid w:val="00B2071C"/>
    <w:rsid w:val="00B21A5F"/>
    <w:rsid w:val="00B24339"/>
    <w:rsid w:val="00B25C91"/>
    <w:rsid w:val="00B277E2"/>
    <w:rsid w:val="00B30AAF"/>
    <w:rsid w:val="00B32458"/>
    <w:rsid w:val="00B33E3E"/>
    <w:rsid w:val="00B43255"/>
    <w:rsid w:val="00B43521"/>
    <w:rsid w:val="00B44804"/>
    <w:rsid w:val="00B47910"/>
    <w:rsid w:val="00B50F84"/>
    <w:rsid w:val="00B63E3E"/>
    <w:rsid w:val="00B65179"/>
    <w:rsid w:val="00B713F4"/>
    <w:rsid w:val="00B7422D"/>
    <w:rsid w:val="00B7678C"/>
    <w:rsid w:val="00B84653"/>
    <w:rsid w:val="00B87421"/>
    <w:rsid w:val="00B94088"/>
    <w:rsid w:val="00B95A0A"/>
    <w:rsid w:val="00BA3E84"/>
    <w:rsid w:val="00BA421C"/>
    <w:rsid w:val="00BA46D4"/>
    <w:rsid w:val="00BA49FF"/>
    <w:rsid w:val="00BA6A15"/>
    <w:rsid w:val="00BC1A3C"/>
    <w:rsid w:val="00BC49AB"/>
    <w:rsid w:val="00BC5B37"/>
    <w:rsid w:val="00BD1B62"/>
    <w:rsid w:val="00BD39E4"/>
    <w:rsid w:val="00BE3BC4"/>
    <w:rsid w:val="00C02ED0"/>
    <w:rsid w:val="00C06A08"/>
    <w:rsid w:val="00C06E8A"/>
    <w:rsid w:val="00C1067D"/>
    <w:rsid w:val="00C25982"/>
    <w:rsid w:val="00C26D97"/>
    <w:rsid w:val="00C27F3E"/>
    <w:rsid w:val="00C30CAB"/>
    <w:rsid w:val="00C30E69"/>
    <w:rsid w:val="00C34849"/>
    <w:rsid w:val="00C463B9"/>
    <w:rsid w:val="00C52F32"/>
    <w:rsid w:val="00C565D2"/>
    <w:rsid w:val="00C60143"/>
    <w:rsid w:val="00C60C1C"/>
    <w:rsid w:val="00C616E8"/>
    <w:rsid w:val="00C62CD4"/>
    <w:rsid w:val="00C708AF"/>
    <w:rsid w:val="00C76A87"/>
    <w:rsid w:val="00C8137C"/>
    <w:rsid w:val="00C830CB"/>
    <w:rsid w:val="00C84CC4"/>
    <w:rsid w:val="00C906A0"/>
    <w:rsid w:val="00C92780"/>
    <w:rsid w:val="00C94D1D"/>
    <w:rsid w:val="00C9615F"/>
    <w:rsid w:val="00C97DB4"/>
    <w:rsid w:val="00CA18CB"/>
    <w:rsid w:val="00CA1F1C"/>
    <w:rsid w:val="00CB178A"/>
    <w:rsid w:val="00CB6060"/>
    <w:rsid w:val="00CC3216"/>
    <w:rsid w:val="00CD0455"/>
    <w:rsid w:val="00CD2FFB"/>
    <w:rsid w:val="00CD3894"/>
    <w:rsid w:val="00CE1261"/>
    <w:rsid w:val="00CE1669"/>
    <w:rsid w:val="00CE4CB8"/>
    <w:rsid w:val="00CF0947"/>
    <w:rsid w:val="00CF1E72"/>
    <w:rsid w:val="00CF365E"/>
    <w:rsid w:val="00CF3C08"/>
    <w:rsid w:val="00CF3F09"/>
    <w:rsid w:val="00CF5A31"/>
    <w:rsid w:val="00CF5E1C"/>
    <w:rsid w:val="00CF7FA8"/>
    <w:rsid w:val="00D03868"/>
    <w:rsid w:val="00D04A6D"/>
    <w:rsid w:val="00D07CE1"/>
    <w:rsid w:val="00D11392"/>
    <w:rsid w:val="00D165B6"/>
    <w:rsid w:val="00D23D80"/>
    <w:rsid w:val="00D25D6A"/>
    <w:rsid w:val="00D318E0"/>
    <w:rsid w:val="00D33B0E"/>
    <w:rsid w:val="00D42390"/>
    <w:rsid w:val="00D43A2B"/>
    <w:rsid w:val="00D43C74"/>
    <w:rsid w:val="00D44013"/>
    <w:rsid w:val="00D5288D"/>
    <w:rsid w:val="00D5349A"/>
    <w:rsid w:val="00D62FC8"/>
    <w:rsid w:val="00D633DE"/>
    <w:rsid w:val="00D726E3"/>
    <w:rsid w:val="00D73C34"/>
    <w:rsid w:val="00D85AAF"/>
    <w:rsid w:val="00D865D9"/>
    <w:rsid w:val="00D90438"/>
    <w:rsid w:val="00D919E3"/>
    <w:rsid w:val="00D94327"/>
    <w:rsid w:val="00DA02D4"/>
    <w:rsid w:val="00DA1F8C"/>
    <w:rsid w:val="00DA37C9"/>
    <w:rsid w:val="00DA670E"/>
    <w:rsid w:val="00DA6A2B"/>
    <w:rsid w:val="00DC1B6E"/>
    <w:rsid w:val="00DC1E42"/>
    <w:rsid w:val="00DC2F0E"/>
    <w:rsid w:val="00DC74D1"/>
    <w:rsid w:val="00DD0C23"/>
    <w:rsid w:val="00DD471E"/>
    <w:rsid w:val="00DE0CFF"/>
    <w:rsid w:val="00DE1E5A"/>
    <w:rsid w:val="00DE76F5"/>
    <w:rsid w:val="00DF254C"/>
    <w:rsid w:val="00DF3821"/>
    <w:rsid w:val="00DF4A1D"/>
    <w:rsid w:val="00DF71E7"/>
    <w:rsid w:val="00E00FB5"/>
    <w:rsid w:val="00E0233E"/>
    <w:rsid w:val="00E05105"/>
    <w:rsid w:val="00E0635C"/>
    <w:rsid w:val="00E06E78"/>
    <w:rsid w:val="00E1048E"/>
    <w:rsid w:val="00E17429"/>
    <w:rsid w:val="00E21359"/>
    <w:rsid w:val="00E243C4"/>
    <w:rsid w:val="00E2503A"/>
    <w:rsid w:val="00E34954"/>
    <w:rsid w:val="00E34C76"/>
    <w:rsid w:val="00E34CCC"/>
    <w:rsid w:val="00E34FCB"/>
    <w:rsid w:val="00E36682"/>
    <w:rsid w:val="00E37661"/>
    <w:rsid w:val="00E42237"/>
    <w:rsid w:val="00E42654"/>
    <w:rsid w:val="00E43AAE"/>
    <w:rsid w:val="00E44995"/>
    <w:rsid w:val="00E5126E"/>
    <w:rsid w:val="00E51DA2"/>
    <w:rsid w:val="00E54135"/>
    <w:rsid w:val="00E60B47"/>
    <w:rsid w:val="00E61933"/>
    <w:rsid w:val="00E67025"/>
    <w:rsid w:val="00E75228"/>
    <w:rsid w:val="00E76F18"/>
    <w:rsid w:val="00E80D29"/>
    <w:rsid w:val="00E81463"/>
    <w:rsid w:val="00E8233E"/>
    <w:rsid w:val="00E915B2"/>
    <w:rsid w:val="00EA7848"/>
    <w:rsid w:val="00EB5291"/>
    <w:rsid w:val="00EC02EA"/>
    <w:rsid w:val="00EC15D0"/>
    <w:rsid w:val="00EC2282"/>
    <w:rsid w:val="00EC75BA"/>
    <w:rsid w:val="00ED41A8"/>
    <w:rsid w:val="00ED7A56"/>
    <w:rsid w:val="00EE3C24"/>
    <w:rsid w:val="00EF0E57"/>
    <w:rsid w:val="00EF14CC"/>
    <w:rsid w:val="00EF20C3"/>
    <w:rsid w:val="00EF68F4"/>
    <w:rsid w:val="00EF7D5A"/>
    <w:rsid w:val="00F05B2F"/>
    <w:rsid w:val="00F060B7"/>
    <w:rsid w:val="00F0730B"/>
    <w:rsid w:val="00F12BEF"/>
    <w:rsid w:val="00F13138"/>
    <w:rsid w:val="00F21D55"/>
    <w:rsid w:val="00F21E28"/>
    <w:rsid w:val="00F25B8B"/>
    <w:rsid w:val="00F25FC5"/>
    <w:rsid w:val="00F27F85"/>
    <w:rsid w:val="00F31E2C"/>
    <w:rsid w:val="00F32FC8"/>
    <w:rsid w:val="00F366C7"/>
    <w:rsid w:val="00F4269C"/>
    <w:rsid w:val="00F4376B"/>
    <w:rsid w:val="00F456C3"/>
    <w:rsid w:val="00F542DB"/>
    <w:rsid w:val="00F54F8F"/>
    <w:rsid w:val="00F63927"/>
    <w:rsid w:val="00F63FDD"/>
    <w:rsid w:val="00F77330"/>
    <w:rsid w:val="00F8199F"/>
    <w:rsid w:val="00F81D94"/>
    <w:rsid w:val="00F935D6"/>
    <w:rsid w:val="00F9365E"/>
    <w:rsid w:val="00F94EAD"/>
    <w:rsid w:val="00FB6919"/>
    <w:rsid w:val="00FC11C1"/>
    <w:rsid w:val="00FC1871"/>
    <w:rsid w:val="00FD16A9"/>
    <w:rsid w:val="00FD288F"/>
    <w:rsid w:val="00FD4974"/>
    <w:rsid w:val="00FE64EA"/>
    <w:rsid w:val="00FE73DD"/>
    <w:rsid w:val="00FF0BD4"/>
    <w:rsid w:val="00FF1D89"/>
    <w:rsid w:val="00FF2CBC"/>
    <w:rsid w:val="00FF343E"/>
    <w:rsid w:val="00FF3E60"/>
    <w:rsid w:val="00FF74A6"/>
    <w:rsid w:val="0119C649"/>
    <w:rsid w:val="0303C6C9"/>
    <w:rsid w:val="03083065"/>
    <w:rsid w:val="039C7AC3"/>
    <w:rsid w:val="056EFFE9"/>
    <w:rsid w:val="0A3ED14D"/>
    <w:rsid w:val="0A4AC4C5"/>
    <w:rsid w:val="0F0A2777"/>
    <w:rsid w:val="106F9B4B"/>
    <w:rsid w:val="12EB72E9"/>
    <w:rsid w:val="155F0472"/>
    <w:rsid w:val="16F9A35B"/>
    <w:rsid w:val="171CC934"/>
    <w:rsid w:val="17C96F7A"/>
    <w:rsid w:val="1E659BC1"/>
    <w:rsid w:val="20B64A76"/>
    <w:rsid w:val="2BD0523F"/>
    <w:rsid w:val="34BC3146"/>
    <w:rsid w:val="39DF8643"/>
    <w:rsid w:val="3A79B6F6"/>
    <w:rsid w:val="3B9BF2FF"/>
    <w:rsid w:val="3CDA0A55"/>
    <w:rsid w:val="41A0CC62"/>
    <w:rsid w:val="4273A1CE"/>
    <w:rsid w:val="4562631C"/>
    <w:rsid w:val="458CA94E"/>
    <w:rsid w:val="45E39F25"/>
    <w:rsid w:val="45F66AB2"/>
    <w:rsid w:val="46523B88"/>
    <w:rsid w:val="49ADFC40"/>
    <w:rsid w:val="4DD88090"/>
    <w:rsid w:val="5256EA3B"/>
    <w:rsid w:val="54047BB8"/>
    <w:rsid w:val="56EE50D8"/>
    <w:rsid w:val="57CDE61E"/>
    <w:rsid w:val="58D62DBD"/>
    <w:rsid w:val="5954232E"/>
    <w:rsid w:val="5A1DFC39"/>
    <w:rsid w:val="5B2EC7A0"/>
    <w:rsid w:val="5C31DEDE"/>
    <w:rsid w:val="5C3228C4"/>
    <w:rsid w:val="5C4070E8"/>
    <w:rsid w:val="5E57CFD8"/>
    <w:rsid w:val="5EA5EC51"/>
    <w:rsid w:val="605FBA03"/>
    <w:rsid w:val="63A97111"/>
    <w:rsid w:val="70405B41"/>
    <w:rsid w:val="711160BE"/>
    <w:rsid w:val="76FFDF5B"/>
    <w:rsid w:val="78A6A27C"/>
    <w:rsid w:val="7C5579D3"/>
    <w:rsid w:val="7F54E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7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7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76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0031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2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2004A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819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2004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962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10031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74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747D"/>
    <w:rPr>
      <w:color w:val="006EB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747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E4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E4B7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76BA2"/>
    <w:rPr>
      <w:rFonts w:asciiTheme="majorHAnsi" w:eastAsiaTheme="majorEastAsia" w:hAnsiTheme="majorHAnsi" w:cstheme="majorBidi"/>
      <w:color w:val="610031" w:themeColor="accent1" w:themeShade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56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56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56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56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56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56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56F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5EFE"/>
  </w:style>
  <w:style w:type="paragraph" w:styleId="Sidfot">
    <w:name w:val="footer"/>
    <w:basedOn w:val="Normal"/>
    <w:link w:val="Sidfot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5EFE"/>
  </w:style>
  <w:style w:type="character" w:styleId="AnvndHyperlnk">
    <w:name w:val="FollowedHyperlink"/>
    <w:basedOn w:val="Standardstycketeckensnitt"/>
    <w:uiPriority w:val="99"/>
    <w:semiHidden/>
    <w:unhideWhenUsed/>
    <w:rsid w:val="00D5288D"/>
    <w:rPr>
      <w:color w:val="5D237D" w:themeColor="followedHyperlink"/>
      <w:u w:val="single"/>
    </w:rPr>
  </w:style>
  <w:style w:type="table" w:styleId="Tabellrutnt">
    <w:name w:val="Table Grid"/>
    <w:basedOn w:val="Normaltabell"/>
    <w:uiPriority w:val="39"/>
    <w:rsid w:val="003A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3A2FE9"/>
    <w:rPr>
      <w:rFonts w:asciiTheme="majorHAnsi" w:eastAsiaTheme="majorEastAsia" w:hAnsiTheme="majorHAnsi" w:cstheme="majorBidi"/>
      <w:i/>
      <w:iCs/>
      <w:color w:val="92004A" w:themeColor="accent1" w:themeShade="BF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91E5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91E5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91E55"/>
    <w:rPr>
      <w:vertAlign w:val="superscript"/>
    </w:rPr>
  </w:style>
  <w:style w:type="character" w:customStyle="1" w:styleId="Rubrik5Char">
    <w:name w:val="Rubrik 5 Char"/>
    <w:basedOn w:val="Standardstycketeckensnitt"/>
    <w:link w:val="Rubrik5"/>
    <w:uiPriority w:val="9"/>
    <w:rsid w:val="00F8199F"/>
    <w:rPr>
      <w:rFonts w:asciiTheme="majorHAnsi" w:eastAsiaTheme="majorEastAsia" w:hAnsiTheme="majorHAnsi" w:cstheme="majorBidi"/>
      <w:color w:val="92004A" w:themeColor="accent1" w:themeShade="BF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4D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4DF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ormaltextrun">
    <w:name w:val="normaltextrun"/>
    <w:basedOn w:val="Standardstycketeckensnitt"/>
    <w:rsid w:val="00740312"/>
  </w:style>
  <w:style w:type="character" w:customStyle="1" w:styleId="Rubrik6Char">
    <w:name w:val="Rubrik 6 Char"/>
    <w:basedOn w:val="Standardstycketeckensnitt"/>
    <w:link w:val="Rubrik6"/>
    <w:uiPriority w:val="9"/>
    <w:rsid w:val="004962E6"/>
    <w:rPr>
      <w:rFonts w:asciiTheme="majorHAnsi" w:eastAsiaTheme="majorEastAsia" w:hAnsiTheme="majorHAnsi" w:cstheme="majorBidi"/>
      <w:color w:val="610031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21D55"/>
    <w:pPr>
      <w:spacing w:line="259" w:lineRule="auto"/>
      <w:outlineLvl w:val="9"/>
    </w:pPr>
    <w:rPr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F21D55"/>
    <w:pPr>
      <w:spacing w:after="100"/>
      <w:ind w:left="240"/>
    </w:pPr>
  </w:style>
  <w:style w:type="paragraph" w:styleId="Innehll1">
    <w:name w:val="toc 1"/>
    <w:basedOn w:val="Normal"/>
    <w:next w:val="Normal"/>
    <w:autoRedefine/>
    <w:uiPriority w:val="39"/>
    <w:unhideWhenUsed/>
    <w:rsid w:val="00F21D55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F21D55"/>
    <w:pPr>
      <w:spacing w:after="100"/>
      <w:ind w:left="480"/>
    </w:pPr>
  </w:style>
  <w:style w:type="paragraph" w:styleId="Ingetavstnd">
    <w:name w:val="No Spacing"/>
    <w:link w:val="IngetavstndChar"/>
    <w:uiPriority w:val="1"/>
    <w:qFormat/>
    <w:rsid w:val="005074DC"/>
    <w:rPr>
      <w:rFonts w:eastAsiaTheme="minorEastAsia"/>
      <w:sz w:val="22"/>
      <w:szCs w:val="22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074DC"/>
    <w:rPr>
      <w:rFonts w:eastAsiaTheme="minorEastAsia"/>
      <w:sz w:val="22"/>
      <w:szCs w:val="22"/>
      <w:lang w:val="en-US"/>
    </w:rPr>
  </w:style>
  <w:style w:type="paragraph" w:styleId="Brdtext">
    <w:name w:val="Body Text"/>
    <w:basedOn w:val="Normal"/>
    <w:link w:val="BrdtextChar"/>
    <w:semiHidden/>
    <w:unhideWhenUsed/>
    <w:qFormat/>
    <w:rsid w:val="005A761F"/>
    <w:rPr>
      <w:szCs w:val="22"/>
    </w:rPr>
  </w:style>
  <w:style w:type="character" w:customStyle="1" w:styleId="BrdtextChar">
    <w:name w:val="Brödtext Char"/>
    <w:basedOn w:val="Standardstycketeckensnitt"/>
    <w:link w:val="Brdtext"/>
    <w:semiHidden/>
    <w:rsid w:val="005A761F"/>
    <w:rPr>
      <w:szCs w:val="22"/>
    </w:rPr>
  </w:style>
  <w:style w:type="paragraph" w:styleId="Revision">
    <w:name w:val="Revision"/>
    <w:hidden/>
    <w:uiPriority w:val="99"/>
    <w:semiHidden/>
    <w:rsid w:val="0073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30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2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3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6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4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martstad.stockholm/odi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martstad.stockholm/odis/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martstad.stockholm/odis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Stockholm">
  <a:themeElements>
    <a:clrScheme name="Custom 2">
      <a:dk1>
        <a:srgbClr val="000000"/>
      </a:dk1>
      <a:lt1>
        <a:srgbClr val="FFFFFF"/>
      </a:lt1>
      <a:dk2>
        <a:srgbClr val="C40064"/>
      </a:dk2>
      <a:lt2>
        <a:srgbClr val="FEDEED"/>
      </a:lt2>
      <a:accent1>
        <a:srgbClr val="C40064"/>
      </a:accent1>
      <a:accent2>
        <a:srgbClr val="D5F7F4"/>
      </a:accent2>
      <a:accent3>
        <a:srgbClr val="006EBF"/>
      </a:accent3>
      <a:accent4>
        <a:srgbClr val="DCD9D2"/>
      </a:accent4>
      <a:accent5>
        <a:srgbClr val="5D237D"/>
      </a:accent5>
      <a:accent6>
        <a:srgbClr val="F1E6FC"/>
      </a:accent6>
      <a:hlink>
        <a:srgbClr val="006EBF"/>
      </a:hlink>
      <a:folHlink>
        <a:srgbClr val="5D237D"/>
      </a:folHlink>
    </a:clrScheme>
    <a:fontScheme name="Stockholms 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tockholms stad Rosa">
      <a:srgbClr val="C40064"/>
    </a:custClr>
    <a:custClr name="Stockholms stad Ljusrosa">
      <a:srgbClr val="FEDEED"/>
    </a:custClr>
    <a:custClr name="Stockholms stad Grön">
      <a:srgbClr val="00867F"/>
    </a:custClr>
    <a:custClr name="Stockholms stad Ljusgrön">
      <a:srgbClr val="D5F7F4"/>
    </a:custClr>
    <a:custClr name="Stockholms stad Orange">
      <a:srgbClr val="DD4A2C"/>
    </a:custClr>
    <a:custClr name="Stockholms stad Ljusorange">
      <a:srgbClr val="FFD7D2"/>
    </a:custClr>
    <a:custClr name="Stockholms stad Blå">
      <a:srgbClr val="006EBF"/>
    </a:custClr>
    <a:custClr name="Stockholms stad Ljusblå">
      <a:srgbClr val="D6EDFC"/>
    </a:custClr>
    <a:custClr name="Stockholms stad Lila">
      <a:srgbClr val="5D237D"/>
    </a:custClr>
    <a:custClr name="Stockholms stad Ljuslila">
      <a:srgbClr val="F1E6FC"/>
    </a:custClr>
    <a:custClr name="Stockholms stad Gul">
      <a:srgbClr val="FCBF0A"/>
    </a:custClr>
    <a:custClr name="Stockholms stad Grå">
      <a:srgbClr val="DCD9D2"/>
    </a:custClr>
  </a:custClrLst>
  <a:extLst>
    <a:ext uri="{05A4C25C-085E-4340-85A3-A5531E510DB2}">
      <thm15:themeFamily xmlns:thm15="http://schemas.microsoft.com/office/thememl/2012/main" name="Stockholm" id="{B522D460-03C5-4BD8-9176-40338E635391}" vid="{E9F691D6-D345-481A-84F4-AD1DC7C0ED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03875C19B554E97300495552BF047" ma:contentTypeVersion="2" ma:contentTypeDescription="Skapa ett nytt dokument." ma:contentTypeScope="" ma:versionID="baf6a617abdcbf6591584e531b9f04b9">
  <xsd:schema xmlns:xsd="http://www.w3.org/2001/XMLSchema" xmlns:xs="http://www.w3.org/2001/XMLSchema" xmlns:p="http://schemas.microsoft.com/office/2006/metadata/properties" xmlns:ns2="c2f02e10-a286-499b-b895-ad1ada1378fe" targetNamespace="http://schemas.microsoft.com/office/2006/metadata/properties" ma:root="true" ma:fieldsID="86c4e1993f17cea0bd30acaf46b9a9b9" ns2:_="">
    <xsd:import namespace="c2f02e10-a286-499b-b895-ad1ada13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2e10-a286-499b-b895-ad1ada13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ADB12-9EBC-4026-8CF6-D3CA15938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A7B1A-6265-418B-B80C-FB79EB263948}"/>
</file>

<file path=customXml/itemProps3.xml><?xml version="1.0" encoding="utf-8"?>
<ds:datastoreItem xmlns:ds="http://schemas.openxmlformats.org/officeDocument/2006/customXml" ds:itemID="{39C8C430-3E3F-46A9-934E-B1AF36F94364}"/>
</file>

<file path=customXml/itemProps4.xml><?xml version="1.0" encoding="utf-8"?>
<ds:datastoreItem xmlns:ds="http://schemas.openxmlformats.org/officeDocument/2006/customXml" ds:itemID="{58AD5401-3EF5-47B8-BDE5-A4A13623B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Links>
    <vt:vector size="24" baseType="variant"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_Toc41940411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_Toc41940410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_Toc41940409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_Toc41940408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2020-11-25T13:28:00Z</dcterms:created>
  <dcterms:modified xsi:type="dcterms:W3CDTF">2020-11-25T14:45:00Z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0x01010064403875C19B554E97300495552BF047</vt:lpwstr>
  </property>
</Properties>
</file>